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522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04"/>
        <w:gridCol w:w="2301"/>
        <w:gridCol w:w="1175"/>
        <w:gridCol w:w="2042"/>
        <w:gridCol w:w="984"/>
        <w:gridCol w:w="891"/>
      </w:tblGrid>
      <w:tr w14:paraId="36753B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45" w:type="pct"/>
            <w:tcBorders>
              <w:top w:val="single" w:color="auto" w:sz="4" w:space="0"/>
              <w:bottom w:val="single" w:color="auto" w:sz="4" w:space="0"/>
              <w:right w:val="single" w:color="auto" w:sz="4" w:space="0"/>
            </w:tcBorders>
            <w:vAlign w:val="center"/>
          </w:tcPr>
          <w:p w14:paraId="1280D1CA">
            <w:pPr>
              <w:spacing w:line="340" w:lineRule="exact"/>
              <w:jc w:val="center"/>
              <w:rPr>
                <w:rFonts w:ascii="仿宋" w:hAnsi="仿宋" w:eastAsia="仿宋" w:cs="Times New Roman"/>
                <w:szCs w:val="21"/>
              </w:rPr>
            </w:pPr>
            <w:r>
              <w:rPr>
                <w:rFonts w:hint="eastAsia" w:ascii="仿宋" w:hAnsi="仿宋" w:eastAsia="仿宋" w:cs="Times New Roman"/>
                <w:szCs w:val="21"/>
              </w:rPr>
              <w:t>用人单位</w:t>
            </w:r>
          </w:p>
        </w:tc>
        <w:tc>
          <w:tcPr>
            <w:tcW w:w="4154" w:type="pct"/>
            <w:gridSpan w:val="5"/>
            <w:tcBorders>
              <w:top w:val="single" w:color="auto" w:sz="4" w:space="0"/>
              <w:left w:val="single" w:color="auto" w:sz="4" w:space="0"/>
              <w:bottom w:val="single" w:color="auto" w:sz="4" w:space="0"/>
            </w:tcBorders>
            <w:vAlign w:val="center"/>
          </w:tcPr>
          <w:p w14:paraId="401C3736">
            <w:pPr>
              <w:spacing w:line="340" w:lineRule="exact"/>
              <w:jc w:val="center"/>
              <w:rPr>
                <w:rFonts w:hint="eastAsia" w:ascii="仿宋" w:hAnsi="仿宋" w:eastAsia="仿宋" w:cs="Times New Roman"/>
                <w:szCs w:val="21"/>
                <w:lang w:eastAsia="zh-CN"/>
              </w:rPr>
            </w:pPr>
            <w:r>
              <w:rPr>
                <w:rFonts w:hint="eastAsia" w:ascii="仿宋" w:hAnsi="仿宋" w:eastAsia="仿宋" w:cs="Times New Roman"/>
                <w:szCs w:val="21"/>
                <w:lang w:eastAsia="zh-CN"/>
              </w:rPr>
              <w:t>茂名石化液化空气气体有限公司生产</w:t>
            </w:r>
            <w:r>
              <w:rPr>
                <w:rFonts w:hint="eastAsia" w:ascii="仿宋" w:hAnsi="仿宋" w:eastAsia="仿宋" w:cs="Times New Roman"/>
                <w:szCs w:val="21"/>
                <w:lang w:val="en-US" w:eastAsia="zh-CN"/>
              </w:rPr>
              <w:t>二</w:t>
            </w:r>
            <w:r>
              <w:rPr>
                <w:rFonts w:hint="eastAsia" w:ascii="仿宋" w:hAnsi="仿宋" w:eastAsia="仿宋" w:cs="Times New Roman"/>
                <w:szCs w:val="21"/>
                <w:lang w:eastAsia="zh-CN"/>
              </w:rPr>
              <w:t>部</w:t>
            </w:r>
          </w:p>
        </w:tc>
      </w:tr>
      <w:tr w14:paraId="6D9FD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pct"/>
            <w:tcBorders>
              <w:top w:val="single" w:color="auto" w:sz="4" w:space="0"/>
              <w:bottom w:val="single" w:color="auto" w:sz="4" w:space="0"/>
              <w:right w:val="single" w:color="auto" w:sz="4" w:space="0"/>
            </w:tcBorders>
            <w:vAlign w:val="center"/>
          </w:tcPr>
          <w:p w14:paraId="162C1DD8">
            <w:pPr>
              <w:spacing w:line="340" w:lineRule="exact"/>
              <w:jc w:val="center"/>
              <w:rPr>
                <w:rFonts w:ascii="仿宋" w:hAnsi="仿宋" w:eastAsia="仿宋" w:cs="Times New Roman"/>
                <w:szCs w:val="21"/>
              </w:rPr>
            </w:pPr>
            <w:r>
              <w:rPr>
                <w:rFonts w:hint="eastAsia" w:ascii="仿宋" w:hAnsi="仿宋" w:eastAsia="仿宋" w:cs="Times New Roman"/>
                <w:szCs w:val="21"/>
              </w:rPr>
              <w:t>单位</w:t>
            </w:r>
            <w:r>
              <w:rPr>
                <w:rFonts w:ascii="仿宋" w:hAnsi="仿宋" w:eastAsia="仿宋" w:cs="Times New Roman"/>
                <w:szCs w:val="21"/>
              </w:rPr>
              <w:t>地址</w:t>
            </w:r>
          </w:p>
        </w:tc>
        <w:tc>
          <w:tcPr>
            <w:tcW w:w="4154" w:type="pct"/>
            <w:gridSpan w:val="5"/>
            <w:tcBorders>
              <w:top w:val="single" w:color="auto" w:sz="4" w:space="0"/>
              <w:left w:val="single" w:color="auto" w:sz="4" w:space="0"/>
              <w:bottom w:val="single" w:color="auto" w:sz="4" w:space="0"/>
            </w:tcBorders>
            <w:vAlign w:val="center"/>
          </w:tcPr>
          <w:p w14:paraId="20D71713">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茂名石化化工分部厂区内</w:t>
            </w:r>
          </w:p>
        </w:tc>
      </w:tr>
      <w:tr w14:paraId="20E8E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pct"/>
            <w:tcBorders>
              <w:top w:val="single" w:color="auto" w:sz="4" w:space="0"/>
              <w:bottom w:val="single" w:color="auto" w:sz="4" w:space="0"/>
              <w:right w:val="single" w:color="auto" w:sz="4" w:space="0"/>
            </w:tcBorders>
            <w:vAlign w:val="center"/>
          </w:tcPr>
          <w:p w14:paraId="6046C538">
            <w:pPr>
              <w:spacing w:line="340" w:lineRule="exact"/>
              <w:jc w:val="center"/>
              <w:rPr>
                <w:rFonts w:ascii="仿宋" w:hAnsi="仿宋" w:eastAsia="仿宋" w:cs="Times New Roman"/>
                <w:szCs w:val="21"/>
              </w:rPr>
            </w:pPr>
            <w:r>
              <w:rPr>
                <w:rFonts w:hint="eastAsia" w:ascii="仿宋" w:hAnsi="仿宋" w:eastAsia="仿宋" w:cs="Times New Roman"/>
                <w:szCs w:val="21"/>
              </w:rPr>
              <w:t>单位联系人</w:t>
            </w:r>
          </w:p>
        </w:tc>
        <w:tc>
          <w:tcPr>
            <w:tcW w:w="4154" w:type="pct"/>
            <w:gridSpan w:val="5"/>
            <w:tcBorders>
              <w:top w:val="single" w:color="auto" w:sz="4" w:space="0"/>
              <w:left w:val="single" w:color="auto" w:sz="4" w:space="0"/>
              <w:bottom w:val="single" w:color="auto" w:sz="4" w:space="0"/>
            </w:tcBorders>
            <w:vAlign w:val="center"/>
          </w:tcPr>
          <w:p w14:paraId="451DC704">
            <w:pPr>
              <w:spacing w:line="34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陈工</w:t>
            </w:r>
          </w:p>
        </w:tc>
      </w:tr>
      <w:tr w14:paraId="39970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pct"/>
            <w:tcBorders>
              <w:top w:val="single" w:color="auto" w:sz="4" w:space="0"/>
              <w:right w:val="single" w:color="auto" w:sz="4" w:space="0"/>
            </w:tcBorders>
            <w:vAlign w:val="center"/>
          </w:tcPr>
          <w:p w14:paraId="09DFD90B">
            <w:pPr>
              <w:spacing w:line="340" w:lineRule="exact"/>
              <w:jc w:val="center"/>
              <w:rPr>
                <w:rFonts w:ascii="仿宋" w:hAnsi="仿宋" w:eastAsia="仿宋" w:cs="Times New Roman"/>
                <w:szCs w:val="21"/>
              </w:rPr>
            </w:pPr>
            <w:r>
              <w:rPr>
                <w:rFonts w:hint="eastAsia" w:ascii="仿宋" w:hAnsi="仿宋" w:eastAsia="仿宋" w:cs="Times New Roman"/>
                <w:szCs w:val="21"/>
              </w:rPr>
              <w:t>公示信息类别</w:t>
            </w:r>
          </w:p>
        </w:tc>
        <w:tc>
          <w:tcPr>
            <w:tcW w:w="4154" w:type="pct"/>
            <w:gridSpan w:val="5"/>
            <w:tcBorders>
              <w:top w:val="single" w:color="auto" w:sz="4" w:space="0"/>
              <w:left w:val="single" w:color="auto" w:sz="4" w:space="0"/>
              <w:bottom w:val="single" w:color="auto" w:sz="4" w:space="0"/>
            </w:tcBorders>
            <w:vAlign w:val="center"/>
          </w:tcPr>
          <w:p w14:paraId="14A3EF43">
            <w:pPr>
              <w:spacing w:line="340" w:lineRule="exact"/>
              <w:jc w:val="center"/>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职业病危害现状评价</w:t>
            </w:r>
          </w:p>
        </w:tc>
      </w:tr>
      <w:tr w14:paraId="17E74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45" w:type="pct"/>
            <w:tcBorders>
              <w:top w:val="single" w:color="auto" w:sz="4" w:space="0"/>
              <w:right w:val="single" w:color="auto" w:sz="4" w:space="0"/>
            </w:tcBorders>
            <w:vAlign w:val="center"/>
          </w:tcPr>
          <w:p w14:paraId="74DE163B">
            <w:pPr>
              <w:spacing w:line="340" w:lineRule="exact"/>
              <w:jc w:val="center"/>
              <w:rPr>
                <w:rFonts w:hint="eastAsia" w:ascii="仿宋" w:hAnsi="仿宋" w:eastAsia="仿宋" w:cs="Times New Roman"/>
                <w:szCs w:val="21"/>
                <w:lang w:eastAsia="zh-CN"/>
              </w:rPr>
            </w:pPr>
            <w:r>
              <w:rPr>
                <w:rFonts w:hint="eastAsia" w:ascii="仿宋" w:hAnsi="仿宋" w:eastAsia="仿宋" w:cs="Times New Roman"/>
                <w:szCs w:val="21"/>
                <w:lang w:eastAsia="zh-CN"/>
              </w:rPr>
              <w:t>项目简介</w:t>
            </w:r>
          </w:p>
        </w:tc>
        <w:tc>
          <w:tcPr>
            <w:tcW w:w="4154" w:type="pct"/>
            <w:gridSpan w:val="5"/>
            <w:tcBorders>
              <w:top w:val="single" w:color="auto" w:sz="4" w:space="0"/>
              <w:left w:val="single" w:color="auto" w:sz="4" w:space="0"/>
              <w:bottom w:val="single" w:color="auto" w:sz="4" w:space="0"/>
            </w:tcBorders>
            <w:vAlign w:val="center"/>
          </w:tcPr>
          <w:p w14:paraId="1EA2B89E">
            <w:pPr>
              <w:spacing w:line="340" w:lineRule="exact"/>
              <w:ind w:firstLine="420" w:firstLineChars="200"/>
              <w:jc w:val="left"/>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生产二部总占地面积13500平方米，现有员工25人，主要是进行氧气、高压氮气、中压氮气、低压氮气、仪表风、工业风、透平凝液、蒸汽凝液、液氧、液氮、液氩的生产。</w:t>
            </w:r>
          </w:p>
        </w:tc>
      </w:tr>
      <w:tr w14:paraId="13AA20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8" w:hRule="atLeast"/>
          <w:jc w:val="center"/>
        </w:trPr>
        <w:tc>
          <w:tcPr>
            <w:tcW w:w="845" w:type="pct"/>
            <w:tcBorders>
              <w:top w:val="single" w:color="auto" w:sz="4" w:space="0"/>
              <w:right w:val="single" w:color="auto" w:sz="4" w:space="0"/>
            </w:tcBorders>
            <w:vAlign w:val="center"/>
          </w:tcPr>
          <w:p w14:paraId="09957DDE">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现场调查人员</w:t>
            </w:r>
          </w:p>
        </w:tc>
        <w:tc>
          <w:tcPr>
            <w:tcW w:w="1293" w:type="pct"/>
            <w:tcBorders>
              <w:top w:val="single" w:color="auto" w:sz="4" w:space="0"/>
              <w:left w:val="single" w:color="auto" w:sz="4" w:space="0"/>
              <w:bottom w:val="single" w:color="auto" w:sz="4" w:space="0"/>
            </w:tcBorders>
            <w:vAlign w:val="center"/>
          </w:tcPr>
          <w:p w14:paraId="5B1D42F9">
            <w:pPr>
              <w:spacing w:line="340" w:lineRule="exact"/>
              <w:jc w:val="center"/>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丁伦</w:t>
            </w:r>
            <w:r>
              <w:rPr>
                <w:rFonts w:hint="default" w:ascii="仿宋" w:hAnsi="仿宋" w:eastAsia="仿宋" w:cs="Times New Roman"/>
                <w:szCs w:val="21"/>
                <w:highlight w:val="none"/>
                <w:lang w:val="en-US" w:eastAsia="zh-CN"/>
              </w:rPr>
              <w:t>、</w:t>
            </w:r>
            <w:r>
              <w:rPr>
                <w:rFonts w:hint="eastAsia" w:ascii="仿宋" w:hAnsi="仿宋" w:eastAsia="仿宋" w:cs="Times New Roman"/>
                <w:szCs w:val="21"/>
                <w:highlight w:val="none"/>
                <w:lang w:val="en-US" w:eastAsia="zh-CN"/>
              </w:rPr>
              <w:t>赵文朋</w:t>
            </w:r>
          </w:p>
        </w:tc>
        <w:tc>
          <w:tcPr>
            <w:tcW w:w="660" w:type="pct"/>
            <w:tcBorders>
              <w:top w:val="single" w:color="auto" w:sz="4" w:space="0"/>
              <w:left w:val="single" w:color="auto" w:sz="4" w:space="0"/>
              <w:bottom w:val="single" w:color="auto" w:sz="4" w:space="0"/>
            </w:tcBorders>
            <w:vAlign w:val="center"/>
          </w:tcPr>
          <w:p w14:paraId="456919DA">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调查时间</w:t>
            </w:r>
          </w:p>
        </w:tc>
        <w:tc>
          <w:tcPr>
            <w:tcW w:w="1147" w:type="pct"/>
            <w:tcBorders>
              <w:top w:val="single" w:color="auto" w:sz="4" w:space="0"/>
              <w:left w:val="single" w:color="auto" w:sz="4" w:space="0"/>
              <w:bottom w:val="single" w:color="auto" w:sz="4" w:space="0"/>
            </w:tcBorders>
            <w:vAlign w:val="center"/>
          </w:tcPr>
          <w:p w14:paraId="5658A01E">
            <w:pPr>
              <w:spacing w:line="340" w:lineRule="exact"/>
              <w:jc w:val="center"/>
              <w:rPr>
                <w:rFonts w:hint="default" w:ascii="仿宋" w:hAnsi="仿宋" w:eastAsia="仿宋" w:cs="Times New Roman"/>
                <w:szCs w:val="21"/>
                <w:highlight w:val="none"/>
                <w:lang w:val="en-US" w:eastAsia="zh-CN"/>
              </w:rPr>
            </w:pPr>
            <w:r>
              <w:rPr>
                <w:rFonts w:hint="default" w:ascii="仿宋" w:hAnsi="仿宋" w:eastAsia="仿宋" w:cs="Times New Roman"/>
                <w:szCs w:val="21"/>
                <w:highlight w:val="none"/>
                <w:lang w:val="en-US" w:eastAsia="zh-CN"/>
              </w:rPr>
              <w:t>202</w:t>
            </w:r>
            <w:r>
              <w:rPr>
                <w:rFonts w:hint="eastAsia" w:ascii="仿宋" w:hAnsi="仿宋" w:eastAsia="仿宋" w:cs="Times New Roman"/>
                <w:szCs w:val="21"/>
                <w:highlight w:val="none"/>
                <w:lang w:val="en-US" w:eastAsia="zh-CN"/>
              </w:rPr>
              <w:t>4.6.18</w:t>
            </w:r>
          </w:p>
        </w:tc>
        <w:tc>
          <w:tcPr>
            <w:tcW w:w="552" w:type="pct"/>
            <w:tcBorders>
              <w:top w:val="single" w:color="auto" w:sz="4" w:space="0"/>
              <w:left w:val="single" w:color="auto" w:sz="4" w:space="0"/>
              <w:bottom w:val="single" w:color="auto" w:sz="4" w:space="0"/>
            </w:tcBorders>
            <w:vAlign w:val="center"/>
          </w:tcPr>
          <w:p w14:paraId="031BE5DD">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陪同人</w:t>
            </w:r>
          </w:p>
        </w:tc>
        <w:tc>
          <w:tcPr>
            <w:tcW w:w="500" w:type="pct"/>
            <w:tcBorders>
              <w:top w:val="single" w:color="auto" w:sz="4" w:space="0"/>
              <w:left w:val="single" w:color="auto" w:sz="4" w:space="0"/>
              <w:bottom w:val="single" w:color="auto" w:sz="4" w:space="0"/>
            </w:tcBorders>
            <w:vAlign w:val="center"/>
          </w:tcPr>
          <w:p w14:paraId="39734D33">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lang w:val="en-US" w:eastAsia="zh-CN"/>
              </w:rPr>
              <w:t>陈工</w:t>
            </w:r>
          </w:p>
        </w:tc>
      </w:tr>
      <w:tr w14:paraId="6C85D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45" w:type="pct"/>
            <w:tcBorders>
              <w:top w:val="single" w:color="auto" w:sz="4" w:space="0"/>
              <w:right w:val="single" w:color="auto" w:sz="4" w:space="0"/>
            </w:tcBorders>
            <w:vAlign w:val="center"/>
          </w:tcPr>
          <w:p w14:paraId="6911A8C2">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检测人员</w:t>
            </w:r>
          </w:p>
        </w:tc>
        <w:tc>
          <w:tcPr>
            <w:tcW w:w="1293" w:type="pct"/>
            <w:tcBorders>
              <w:top w:val="single" w:color="auto" w:sz="4" w:space="0"/>
              <w:left w:val="single" w:color="auto" w:sz="4" w:space="0"/>
              <w:bottom w:val="single" w:color="auto" w:sz="4" w:space="0"/>
            </w:tcBorders>
            <w:vAlign w:val="center"/>
          </w:tcPr>
          <w:p w14:paraId="44CF98EB">
            <w:pPr>
              <w:spacing w:line="340" w:lineRule="exact"/>
              <w:jc w:val="center"/>
              <w:rPr>
                <w:rFonts w:hint="default"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邱汉聪、刘永涛</w:t>
            </w:r>
          </w:p>
        </w:tc>
        <w:tc>
          <w:tcPr>
            <w:tcW w:w="660" w:type="pct"/>
            <w:tcBorders>
              <w:top w:val="single" w:color="auto" w:sz="4" w:space="0"/>
              <w:left w:val="single" w:color="auto" w:sz="4" w:space="0"/>
              <w:bottom w:val="single" w:color="auto" w:sz="4" w:space="0"/>
            </w:tcBorders>
            <w:vAlign w:val="center"/>
          </w:tcPr>
          <w:p w14:paraId="2F20E08C">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检测时间</w:t>
            </w:r>
          </w:p>
        </w:tc>
        <w:tc>
          <w:tcPr>
            <w:tcW w:w="1147" w:type="pct"/>
            <w:tcBorders>
              <w:top w:val="single" w:color="auto" w:sz="4" w:space="0"/>
              <w:left w:val="single" w:color="auto" w:sz="4" w:space="0"/>
              <w:bottom w:val="single" w:color="auto" w:sz="4" w:space="0"/>
            </w:tcBorders>
            <w:vAlign w:val="center"/>
          </w:tcPr>
          <w:p w14:paraId="037F3CC9">
            <w:pPr>
              <w:spacing w:line="340" w:lineRule="exact"/>
              <w:jc w:val="center"/>
              <w:rPr>
                <w:rFonts w:hint="default" w:ascii="仿宋" w:hAnsi="仿宋" w:eastAsia="仿宋" w:cs="Times New Roman"/>
                <w:szCs w:val="21"/>
                <w:highlight w:val="none"/>
                <w:lang w:val="en-US" w:eastAsia="zh-CN"/>
              </w:rPr>
            </w:pPr>
            <w:r>
              <w:rPr>
                <w:rFonts w:hint="default" w:ascii="仿宋" w:hAnsi="仿宋" w:eastAsia="仿宋" w:cs="Times New Roman"/>
                <w:szCs w:val="21"/>
                <w:highlight w:val="none"/>
                <w:lang w:val="en-US" w:eastAsia="zh-CN"/>
              </w:rPr>
              <w:t>2024</w:t>
            </w:r>
            <w:r>
              <w:rPr>
                <w:rFonts w:hint="eastAsia" w:ascii="仿宋" w:hAnsi="仿宋" w:eastAsia="仿宋" w:cs="Times New Roman"/>
                <w:szCs w:val="21"/>
                <w:highlight w:val="none"/>
                <w:lang w:val="en-US" w:eastAsia="zh-CN"/>
              </w:rPr>
              <w:t>.</w:t>
            </w:r>
            <w:r>
              <w:rPr>
                <w:rFonts w:hint="default" w:ascii="仿宋" w:hAnsi="仿宋" w:eastAsia="仿宋" w:cs="Times New Roman"/>
                <w:szCs w:val="21"/>
                <w:highlight w:val="none"/>
                <w:lang w:val="en-US" w:eastAsia="zh-CN"/>
              </w:rPr>
              <w:t>6</w:t>
            </w:r>
            <w:r>
              <w:rPr>
                <w:rFonts w:hint="eastAsia" w:ascii="仿宋" w:hAnsi="仿宋" w:eastAsia="仿宋" w:cs="Times New Roman"/>
                <w:szCs w:val="21"/>
                <w:highlight w:val="none"/>
                <w:lang w:val="en-US" w:eastAsia="zh-CN"/>
              </w:rPr>
              <w:t>.27</w:t>
            </w:r>
            <w:r>
              <w:rPr>
                <w:rFonts w:hint="default" w:ascii="仿宋" w:hAnsi="仿宋" w:eastAsia="仿宋" w:cs="Times New Roman"/>
                <w:szCs w:val="21"/>
                <w:highlight w:val="none"/>
                <w:lang w:val="en-US" w:eastAsia="zh-CN"/>
              </w:rPr>
              <w:t>～</w:t>
            </w:r>
            <w:r>
              <w:rPr>
                <w:rFonts w:hint="eastAsia" w:ascii="仿宋" w:hAnsi="仿宋" w:eastAsia="仿宋" w:cs="Times New Roman"/>
                <w:szCs w:val="21"/>
                <w:highlight w:val="none"/>
                <w:lang w:val="en-US" w:eastAsia="zh-CN"/>
              </w:rPr>
              <w:t>29</w:t>
            </w:r>
          </w:p>
        </w:tc>
        <w:tc>
          <w:tcPr>
            <w:tcW w:w="552" w:type="pct"/>
            <w:tcBorders>
              <w:top w:val="single" w:color="auto" w:sz="4" w:space="0"/>
              <w:left w:val="single" w:color="auto" w:sz="4" w:space="0"/>
              <w:bottom w:val="single" w:color="auto" w:sz="4" w:space="0"/>
            </w:tcBorders>
            <w:vAlign w:val="center"/>
          </w:tcPr>
          <w:p w14:paraId="6B9BE963">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陪同人</w:t>
            </w:r>
          </w:p>
        </w:tc>
        <w:tc>
          <w:tcPr>
            <w:tcW w:w="500" w:type="pct"/>
            <w:tcBorders>
              <w:top w:val="single" w:color="auto" w:sz="4" w:space="0"/>
              <w:left w:val="single" w:color="auto" w:sz="4" w:space="0"/>
              <w:bottom w:val="single" w:color="auto" w:sz="4" w:space="0"/>
            </w:tcBorders>
            <w:vAlign w:val="center"/>
          </w:tcPr>
          <w:p w14:paraId="7E9D57AC">
            <w:pPr>
              <w:spacing w:line="340" w:lineRule="exact"/>
              <w:jc w:val="center"/>
              <w:rPr>
                <w:rFonts w:hint="eastAsia" w:ascii="仿宋" w:hAnsi="仿宋" w:eastAsia="仿宋" w:cs="Times New Roman"/>
                <w:szCs w:val="21"/>
                <w:highlight w:val="none"/>
                <w:lang w:val="en-US" w:eastAsia="zh-CN"/>
              </w:rPr>
            </w:pPr>
            <w:r>
              <w:rPr>
                <w:rFonts w:hint="eastAsia" w:ascii="仿宋" w:hAnsi="仿宋" w:eastAsia="仿宋" w:cs="Times New Roman"/>
                <w:szCs w:val="21"/>
                <w:lang w:val="en-US" w:eastAsia="zh-CN"/>
              </w:rPr>
              <w:t>陈工</w:t>
            </w:r>
          </w:p>
        </w:tc>
      </w:tr>
      <w:tr w14:paraId="5B5C9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35C51CD5">
            <w:pPr>
              <w:spacing w:line="340" w:lineRule="exact"/>
              <w:ind w:firstLine="420" w:firstLineChars="200"/>
              <w:jc w:val="left"/>
              <w:rPr>
                <w:rFonts w:hint="eastAsia" w:ascii="仿宋" w:hAnsi="仿宋" w:eastAsia="仿宋" w:cs="Times New Roman"/>
                <w:szCs w:val="21"/>
                <w:highlight w:val="none"/>
                <w:lang w:val="en-US" w:eastAsia="zh-CN"/>
              </w:rPr>
            </w:pPr>
            <w:r>
              <w:rPr>
                <w:rFonts w:hint="eastAsia" w:ascii="仿宋" w:hAnsi="仿宋" w:eastAsia="仿宋" w:cs="Times New Roman"/>
                <w:szCs w:val="21"/>
                <w:highlight w:val="none"/>
                <w:lang w:val="en-US" w:eastAsia="zh-CN"/>
              </w:rPr>
              <w:t>该公司存在的职业病危害因素包括：噪声、工频电磁场、高温（包括季节</w:t>
            </w:r>
            <w:r>
              <w:rPr>
                <w:rFonts w:hint="eastAsia" w:ascii="仿宋" w:hAnsi="仿宋" w:eastAsia="仿宋" w:cs="Times New Roman"/>
                <w:szCs w:val="21"/>
                <w:highlight w:val="none"/>
                <w:rtl w:val="0"/>
                <w:lang w:val="en-US" w:eastAsia="zh-CN"/>
              </w:rPr>
              <w:t>性</w:t>
            </w:r>
            <w:r>
              <w:rPr>
                <w:rFonts w:hint="eastAsia" w:ascii="仿宋" w:hAnsi="仿宋" w:eastAsia="仿宋" w:cs="Times New Roman"/>
                <w:szCs w:val="21"/>
                <w:highlight w:val="none"/>
                <w:lang w:val="en-US" w:eastAsia="zh-CN"/>
              </w:rPr>
              <w:t>高温）。</w:t>
            </w:r>
          </w:p>
          <w:p w14:paraId="38051B07">
            <w:pPr>
              <w:spacing w:line="340" w:lineRule="exact"/>
              <w:ind w:firstLine="420" w:firstLineChars="200"/>
              <w:jc w:val="left"/>
              <w:rPr>
                <w:rFonts w:hint="eastAsia" w:ascii="仿宋" w:hAnsi="仿宋" w:eastAsia="仿宋" w:cs="Times New Roman"/>
                <w:szCs w:val="21"/>
                <w:highlight w:val="none"/>
                <w:lang w:eastAsia="zh-CN"/>
              </w:rPr>
            </w:pPr>
            <w:r>
              <w:rPr>
                <w:rFonts w:hint="eastAsia" w:ascii="仿宋" w:hAnsi="仿宋" w:eastAsia="仿宋" w:cs="Times New Roman"/>
                <w:szCs w:val="21"/>
                <w:highlight w:val="none"/>
                <w:lang w:eastAsia="zh-CN"/>
              </w:rPr>
              <w:t>职业病危害因素检测结果：</w:t>
            </w:r>
            <w:r>
              <w:rPr>
                <w:rFonts w:hint="eastAsia" w:ascii="仿宋" w:hAnsi="仿宋" w:eastAsia="仿宋" w:cs="Times New Roman"/>
                <w:szCs w:val="21"/>
                <w:highlight w:val="none"/>
                <w:lang w:val="en-US" w:eastAsia="zh-CN"/>
              </w:rPr>
              <w:t>各岗位噪声、高温、工频电场的检测结果均低于接触限值。</w:t>
            </w:r>
          </w:p>
        </w:tc>
      </w:tr>
      <w:tr w14:paraId="6CA32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5000" w:type="pct"/>
            <w:gridSpan w:val="6"/>
            <w:tcBorders>
              <w:top w:val="single" w:color="auto" w:sz="4" w:space="0"/>
              <w:bottom w:val="single" w:color="auto" w:sz="4" w:space="0"/>
            </w:tcBorders>
          </w:tcPr>
          <w:p w14:paraId="04E99008">
            <w:pPr>
              <w:spacing w:line="340" w:lineRule="exact"/>
              <w:ind w:firstLine="420" w:firstLineChars="200"/>
              <w:jc w:val="both"/>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评价结论与建议</w:t>
            </w:r>
          </w:p>
          <w:p w14:paraId="62C527AD">
            <w:pPr>
              <w:spacing w:line="340" w:lineRule="exact"/>
              <w:ind w:firstLine="420" w:firstLineChars="200"/>
              <w:jc w:val="both"/>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职业病危害风险分类：严重</w:t>
            </w:r>
          </w:p>
          <w:p w14:paraId="4B298DC7">
            <w:pPr>
              <w:spacing w:line="340" w:lineRule="exact"/>
              <w:ind w:firstLine="420" w:firstLineChars="200"/>
              <w:jc w:val="both"/>
              <w:rPr>
                <w:rFonts w:hint="eastAsia" w:ascii="仿宋" w:hAnsi="仿宋" w:eastAsia="仿宋" w:cs="Times New Roman"/>
                <w:szCs w:val="21"/>
                <w:lang w:val="en-US" w:eastAsia="zh-CN"/>
              </w:rPr>
            </w:pPr>
            <w:r>
              <w:rPr>
                <w:rFonts w:hint="eastAsia" w:ascii="仿宋" w:hAnsi="仿宋" w:eastAsia="仿宋" w:cs="Times New Roman"/>
                <w:szCs w:val="21"/>
                <w:lang w:val="en-US" w:eastAsia="zh-CN"/>
              </w:rPr>
              <w:t>建议：</w:t>
            </w:r>
          </w:p>
          <w:p w14:paraId="2B111EE3">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1）建议在满足安全生产的前</w:t>
            </w:r>
            <w:bookmarkStart w:id="0" w:name="_GoBack"/>
            <w:bookmarkEnd w:id="0"/>
            <w:r>
              <w:rPr>
                <w:rFonts w:hint="default" w:ascii="仿宋" w:hAnsi="仿宋" w:eastAsia="仿宋" w:cs="Times New Roman"/>
                <w:szCs w:val="21"/>
                <w:lang w:val="en-US" w:eastAsia="zh-CN"/>
              </w:rPr>
              <w:t>提下，优化操作工的巡检时间、路线等，减少操作工在高噪声区域的停留时间；维修</w:t>
            </w:r>
            <w:r>
              <w:rPr>
                <w:rFonts w:hint="default" w:ascii="仿宋" w:hAnsi="仿宋" w:eastAsia="仿宋" w:cs="Times New Roman"/>
                <w:szCs w:val="21"/>
                <w:rtl w:val="0"/>
                <w:lang w:val="en-US" w:eastAsia="zh-CN"/>
              </w:rPr>
              <w:t>团队</w:t>
            </w:r>
            <w:r>
              <w:rPr>
                <w:rFonts w:hint="default" w:ascii="仿宋" w:hAnsi="仿宋" w:eastAsia="仿宋" w:cs="Times New Roman"/>
                <w:szCs w:val="21"/>
                <w:lang w:val="en-US" w:eastAsia="zh-CN"/>
              </w:rPr>
              <w:t>人员在日常作业过程中应加强对设备的维护保养，减少因为设备磨损而产生较高的噪声。</w:t>
            </w:r>
          </w:p>
          <w:p w14:paraId="45875F7F">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2）建议该公司今后在安排员工进行职业健康检查时，应安排相应的作业人员</w:t>
            </w:r>
            <w:r>
              <w:rPr>
                <w:rFonts w:hint="default" w:ascii="仿宋" w:hAnsi="仿宋" w:eastAsia="仿宋" w:cs="Times New Roman"/>
                <w:szCs w:val="21"/>
                <w:rtl w:val="0"/>
                <w:lang w:val="en-US" w:eastAsia="zh-CN"/>
              </w:rPr>
              <w:t>进行高温、</w:t>
            </w:r>
            <w:r>
              <w:rPr>
                <w:rFonts w:hint="default" w:ascii="仿宋" w:hAnsi="仿宋" w:eastAsia="仿宋" w:cs="Times New Roman"/>
                <w:szCs w:val="21"/>
                <w:lang w:val="en-US" w:eastAsia="zh-CN"/>
              </w:rPr>
              <w:t>电工作业（特殊作业）的体检，并在体检报告中明确</w:t>
            </w:r>
            <w:r>
              <w:rPr>
                <w:rFonts w:hint="default" w:ascii="仿宋" w:hAnsi="仿宋" w:eastAsia="仿宋" w:cs="Times New Roman"/>
                <w:szCs w:val="21"/>
                <w:rtl w:val="0"/>
                <w:lang w:val="en-US" w:eastAsia="zh-CN"/>
              </w:rPr>
              <w:t>高温、</w:t>
            </w:r>
            <w:r>
              <w:rPr>
                <w:rFonts w:hint="default" w:ascii="仿宋" w:hAnsi="仿宋" w:eastAsia="仿宋" w:cs="Times New Roman"/>
                <w:szCs w:val="21"/>
                <w:lang w:val="en-US" w:eastAsia="zh-CN"/>
              </w:rPr>
              <w:t>电工作业的职业健康检查结果。</w:t>
            </w:r>
          </w:p>
          <w:p w14:paraId="0B1EC66E">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若发现有高温禁忌证人员，应将其调离相应的作业岗位，或避免其巡检高温作业场所。</w:t>
            </w:r>
          </w:p>
          <w:p w14:paraId="7176F1FA">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3）建议该公司今后按照《用人单位职业健康监护监督管理办法》（原国家安全生产监督管理总局令第49号）、《职业健康监护技术规范》（GBZ188-2014）的要求，每年安排所有接触职业病危害因素（包括特殊作业）的员工进行相对应的上岗前、在岗期间、离岗时的职业健康检查，并妥善保管职业健康检查报告，完善职业卫生管理档案。各岗位具体检查项目参照本报告内容和《职业健康监护技术规范》（GBZ 188-2014）。</w:t>
            </w:r>
          </w:p>
          <w:p w14:paraId="764C84EC">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4）建议生产二部按照《国卫办关于进一步加强用人单位职业健康培训工作的通知》（国卫办职健函〔2022〕441号）的要求，加强作业人员职业卫生知识的培训。</w:t>
            </w:r>
          </w:p>
          <w:p w14:paraId="0C8D3AC7">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5）建议生产二部根据各岗位实际接触的职业病危害因素情况，完善各作业人员的职业病危害合同告知书的相关内容：如接触的职业病危害因素以及对应的职业禁忌证、可能导致的职业病危害、采取的职业病防护措施等（。</w:t>
            </w:r>
          </w:p>
          <w:p w14:paraId="2F2362A1">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6）建议各岗位作业人员在巡检</w:t>
            </w:r>
            <w:r>
              <w:rPr>
                <w:rFonts w:hint="default" w:ascii="仿宋" w:hAnsi="仿宋" w:eastAsia="仿宋" w:cs="Times New Roman"/>
                <w:szCs w:val="21"/>
                <w:rtl w:val="0"/>
                <w:lang w:val="en-US" w:eastAsia="zh-CN"/>
              </w:rPr>
              <w:t>空分压缩机厂房时佩戴好防噪耳塞、防护耳罩。</w:t>
            </w:r>
          </w:p>
          <w:p w14:paraId="7B209FAC">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7）建议该公司完善个人防护用品领取记录内容，如补充个人防护用品的型号等内容。</w:t>
            </w:r>
          </w:p>
          <w:p w14:paraId="647D439E">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8）建议职业卫生管理人员定期对现场设置的警示标识与告知卡进行检查，完善现场职业病危害警示标识及中文警示说明，设置噪声职业病危害因素告知卡。</w:t>
            </w:r>
          </w:p>
          <w:p w14:paraId="4DF9B771">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9）建议生产二部生产主管、职业卫生管理人员在日常工作中，加强对接触职业病危害因素人员佩戴个人防护用品情况的管理，保证作业人员在日常作业过程中，能够正确佩戴所配发的个人防护用品，如防噪耳塞等。</w:t>
            </w:r>
          </w:p>
          <w:p w14:paraId="3D15A5CA">
            <w:pPr>
              <w:spacing w:line="340" w:lineRule="exact"/>
              <w:ind w:firstLine="420" w:firstLineChars="200"/>
              <w:jc w:val="both"/>
              <w:rPr>
                <w:rFonts w:hint="default" w:ascii="仿宋" w:hAnsi="仿宋" w:eastAsia="仿宋" w:cs="Times New Roman"/>
                <w:szCs w:val="21"/>
                <w:lang w:val="en-US" w:eastAsia="zh-CN"/>
              </w:rPr>
            </w:pPr>
            <w:r>
              <w:rPr>
                <w:rFonts w:hint="default" w:ascii="仿宋" w:hAnsi="仿宋" w:eastAsia="仿宋" w:cs="Times New Roman"/>
                <w:szCs w:val="21"/>
                <w:lang w:val="en-US" w:eastAsia="zh-CN"/>
              </w:rPr>
              <w:t>10）建议该公司按照《职业卫生档案管理规范》（原安监总厅安健〔2013〕171号）的要求，继续完善相关的职业卫生管理档案、职业病危害因素监测与检测评价档案，职业卫生宣传培训档案、用人单位职业健康监护管理档案和劳动者个人职业健康监护档案等内容。</w:t>
            </w:r>
          </w:p>
        </w:tc>
      </w:tr>
    </w:tbl>
    <w:p w14:paraId="3029BFF4"/>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2007A4"/>
    <w:multiLevelType w:val="singleLevel"/>
    <w:tmpl w:val="122007A4"/>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E2Zjg3MmFkZDczODAzODI2OGFmYWJhNDdkYjA2YjkifQ=="/>
  </w:docVars>
  <w:rsids>
    <w:rsidRoot w:val="002D5244"/>
    <w:rsid w:val="00051C70"/>
    <w:rsid w:val="000B168E"/>
    <w:rsid w:val="000D4C60"/>
    <w:rsid w:val="000F661D"/>
    <w:rsid w:val="00180ED4"/>
    <w:rsid w:val="002D2B6F"/>
    <w:rsid w:val="002D5244"/>
    <w:rsid w:val="0034231F"/>
    <w:rsid w:val="00355A35"/>
    <w:rsid w:val="003F0872"/>
    <w:rsid w:val="004B6752"/>
    <w:rsid w:val="004F70BB"/>
    <w:rsid w:val="00531B8B"/>
    <w:rsid w:val="005B6422"/>
    <w:rsid w:val="005C5F7A"/>
    <w:rsid w:val="00702B18"/>
    <w:rsid w:val="007F4BCD"/>
    <w:rsid w:val="00946DA3"/>
    <w:rsid w:val="00947E62"/>
    <w:rsid w:val="00996E59"/>
    <w:rsid w:val="009E2F87"/>
    <w:rsid w:val="00A01BF0"/>
    <w:rsid w:val="00B54B98"/>
    <w:rsid w:val="00D31C3C"/>
    <w:rsid w:val="00D86716"/>
    <w:rsid w:val="00DA711E"/>
    <w:rsid w:val="00DF0F69"/>
    <w:rsid w:val="00E04A58"/>
    <w:rsid w:val="00EB6037"/>
    <w:rsid w:val="00EC7B75"/>
    <w:rsid w:val="00FA4F11"/>
    <w:rsid w:val="01075579"/>
    <w:rsid w:val="01233096"/>
    <w:rsid w:val="012A0989"/>
    <w:rsid w:val="01BA7434"/>
    <w:rsid w:val="022C2C17"/>
    <w:rsid w:val="023D0B8F"/>
    <w:rsid w:val="03E91FCE"/>
    <w:rsid w:val="04363A1E"/>
    <w:rsid w:val="046F5658"/>
    <w:rsid w:val="04B472CB"/>
    <w:rsid w:val="05594203"/>
    <w:rsid w:val="05C84116"/>
    <w:rsid w:val="05E25786"/>
    <w:rsid w:val="05E337FC"/>
    <w:rsid w:val="06971FBD"/>
    <w:rsid w:val="0745615D"/>
    <w:rsid w:val="085F7AA2"/>
    <w:rsid w:val="08744698"/>
    <w:rsid w:val="09214C02"/>
    <w:rsid w:val="093820FC"/>
    <w:rsid w:val="096D2D05"/>
    <w:rsid w:val="097A7FD3"/>
    <w:rsid w:val="0983368B"/>
    <w:rsid w:val="099C619C"/>
    <w:rsid w:val="0A0D4238"/>
    <w:rsid w:val="0A1C234E"/>
    <w:rsid w:val="0A3D36E8"/>
    <w:rsid w:val="0A897216"/>
    <w:rsid w:val="0A98139A"/>
    <w:rsid w:val="0AF3628F"/>
    <w:rsid w:val="0B35399D"/>
    <w:rsid w:val="0B7D2159"/>
    <w:rsid w:val="0C943AA2"/>
    <w:rsid w:val="0CBC40CB"/>
    <w:rsid w:val="0D33381F"/>
    <w:rsid w:val="0D5D3E94"/>
    <w:rsid w:val="0D710304"/>
    <w:rsid w:val="0DB241E0"/>
    <w:rsid w:val="0DFE5677"/>
    <w:rsid w:val="0E055229"/>
    <w:rsid w:val="0EDC135D"/>
    <w:rsid w:val="0F3533E3"/>
    <w:rsid w:val="0F9912D9"/>
    <w:rsid w:val="0FA83A21"/>
    <w:rsid w:val="0FD04F1D"/>
    <w:rsid w:val="0FDA5C70"/>
    <w:rsid w:val="10046B9B"/>
    <w:rsid w:val="105A60FE"/>
    <w:rsid w:val="10F845FF"/>
    <w:rsid w:val="11174F6F"/>
    <w:rsid w:val="112C7A85"/>
    <w:rsid w:val="11757C65"/>
    <w:rsid w:val="118E6431"/>
    <w:rsid w:val="11A37A34"/>
    <w:rsid w:val="11BA35F1"/>
    <w:rsid w:val="11D131E6"/>
    <w:rsid w:val="123C4CE7"/>
    <w:rsid w:val="12772793"/>
    <w:rsid w:val="128A091B"/>
    <w:rsid w:val="13050ECF"/>
    <w:rsid w:val="13B14F39"/>
    <w:rsid w:val="13F76CFC"/>
    <w:rsid w:val="13FB22A7"/>
    <w:rsid w:val="141D14AB"/>
    <w:rsid w:val="1476335E"/>
    <w:rsid w:val="1586775E"/>
    <w:rsid w:val="16655581"/>
    <w:rsid w:val="17932E87"/>
    <w:rsid w:val="17F673BF"/>
    <w:rsid w:val="184E1992"/>
    <w:rsid w:val="19810F0A"/>
    <w:rsid w:val="1A134FD2"/>
    <w:rsid w:val="1A615541"/>
    <w:rsid w:val="1A8816B5"/>
    <w:rsid w:val="1AC4293F"/>
    <w:rsid w:val="1B3F462B"/>
    <w:rsid w:val="1B5865B3"/>
    <w:rsid w:val="1B78307B"/>
    <w:rsid w:val="1B7B495C"/>
    <w:rsid w:val="1C81326A"/>
    <w:rsid w:val="1CDA105D"/>
    <w:rsid w:val="1DFB046C"/>
    <w:rsid w:val="1E5D4AE2"/>
    <w:rsid w:val="1E7A2AF8"/>
    <w:rsid w:val="1F026649"/>
    <w:rsid w:val="205630F0"/>
    <w:rsid w:val="20E325CD"/>
    <w:rsid w:val="2170622F"/>
    <w:rsid w:val="22B71C55"/>
    <w:rsid w:val="22C32FEA"/>
    <w:rsid w:val="22CD6AE0"/>
    <w:rsid w:val="22DF27E2"/>
    <w:rsid w:val="22E60FE0"/>
    <w:rsid w:val="22ED255B"/>
    <w:rsid w:val="234D2E21"/>
    <w:rsid w:val="23B02B18"/>
    <w:rsid w:val="23B05D8F"/>
    <w:rsid w:val="24201B09"/>
    <w:rsid w:val="24212E47"/>
    <w:rsid w:val="24832815"/>
    <w:rsid w:val="24BF02CB"/>
    <w:rsid w:val="24F444EE"/>
    <w:rsid w:val="25662132"/>
    <w:rsid w:val="256F54C5"/>
    <w:rsid w:val="257E5312"/>
    <w:rsid w:val="25CD5C03"/>
    <w:rsid w:val="26284A18"/>
    <w:rsid w:val="279F712B"/>
    <w:rsid w:val="28740979"/>
    <w:rsid w:val="2A413DAE"/>
    <w:rsid w:val="2A460333"/>
    <w:rsid w:val="2A566F28"/>
    <w:rsid w:val="2AB84DE6"/>
    <w:rsid w:val="2AF72B6B"/>
    <w:rsid w:val="2B810195"/>
    <w:rsid w:val="2BBB13C9"/>
    <w:rsid w:val="2BFA5B09"/>
    <w:rsid w:val="2C2C73FB"/>
    <w:rsid w:val="2C385DA0"/>
    <w:rsid w:val="2C3C39FF"/>
    <w:rsid w:val="2C6117C4"/>
    <w:rsid w:val="2D99053D"/>
    <w:rsid w:val="2DB674EC"/>
    <w:rsid w:val="2E114561"/>
    <w:rsid w:val="2E681913"/>
    <w:rsid w:val="2E9C5628"/>
    <w:rsid w:val="2EA72D69"/>
    <w:rsid w:val="2FC91E74"/>
    <w:rsid w:val="2FCC56C2"/>
    <w:rsid w:val="30446B3E"/>
    <w:rsid w:val="306A10C8"/>
    <w:rsid w:val="310446E2"/>
    <w:rsid w:val="31ED0CE4"/>
    <w:rsid w:val="31EF2884"/>
    <w:rsid w:val="32020A91"/>
    <w:rsid w:val="32034EF7"/>
    <w:rsid w:val="329F305B"/>
    <w:rsid w:val="32A80965"/>
    <w:rsid w:val="32EA744A"/>
    <w:rsid w:val="337324E5"/>
    <w:rsid w:val="338369EF"/>
    <w:rsid w:val="34030A42"/>
    <w:rsid w:val="34B0573E"/>
    <w:rsid w:val="34C43209"/>
    <w:rsid w:val="34DD368C"/>
    <w:rsid w:val="355E54AE"/>
    <w:rsid w:val="35ED4532"/>
    <w:rsid w:val="36F55F5E"/>
    <w:rsid w:val="379A445F"/>
    <w:rsid w:val="37BC7E4B"/>
    <w:rsid w:val="384F06F9"/>
    <w:rsid w:val="386335F0"/>
    <w:rsid w:val="38986280"/>
    <w:rsid w:val="38AE3672"/>
    <w:rsid w:val="38FC2442"/>
    <w:rsid w:val="391A60AE"/>
    <w:rsid w:val="392755EE"/>
    <w:rsid w:val="393C79FB"/>
    <w:rsid w:val="39863298"/>
    <w:rsid w:val="39CF0E62"/>
    <w:rsid w:val="39D13637"/>
    <w:rsid w:val="3A246BDD"/>
    <w:rsid w:val="3A415082"/>
    <w:rsid w:val="3A69467A"/>
    <w:rsid w:val="3AF64E38"/>
    <w:rsid w:val="3B4262F3"/>
    <w:rsid w:val="3C344673"/>
    <w:rsid w:val="3CDC1242"/>
    <w:rsid w:val="3D1E1295"/>
    <w:rsid w:val="3DB334D8"/>
    <w:rsid w:val="3DDC0EF7"/>
    <w:rsid w:val="3DDD3902"/>
    <w:rsid w:val="3E432AAE"/>
    <w:rsid w:val="3E7013C9"/>
    <w:rsid w:val="3E8C18E6"/>
    <w:rsid w:val="3E8D6156"/>
    <w:rsid w:val="3EA370A9"/>
    <w:rsid w:val="3EB43064"/>
    <w:rsid w:val="3F312ACB"/>
    <w:rsid w:val="3F8D4B70"/>
    <w:rsid w:val="3FAF61F9"/>
    <w:rsid w:val="3FC56C5D"/>
    <w:rsid w:val="3FC720B2"/>
    <w:rsid w:val="3FCD0C8D"/>
    <w:rsid w:val="40922C7C"/>
    <w:rsid w:val="40C764D4"/>
    <w:rsid w:val="40F25777"/>
    <w:rsid w:val="41006A35"/>
    <w:rsid w:val="41013860"/>
    <w:rsid w:val="41EB02E9"/>
    <w:rsid w:val="42973632"/>
    <w:rsid w:val="43696829"/>
    <w:rsid w:val="43AD6F36"/>
    <w:rsid w:val="43E7475E"/>
    <w:rsid w:val="444D05BE"/>
    <w:rsid w:val="444E3803"/>
    <w:rsid w:val="45B54C00"/>
    <w:rsid w:val="465670F7"/>
    <w:rsid w:val="46DE4CD7"/>
    <w:rsid w:val="471C20EE"/>
    <w:rsid w:val="47BC08E5"/>
    <w:rsid w:val="47FD3CCE"/>
    <w:rsid w:val="489919E1"/>
    <w:rsid w:val="48C44256"/>
    <w:rsid w:val="48C94013"/>
    <w:rsid w:val="49062CF8"/>
    <w:rsid w:val="493B6A03"/>
    <w:rsid w:val="49427DCA"/>
    <w:rsid w:val="49836818"/>
    <w:rsid w:val="49B13B80"/>
    <w:rsid w:val="49D10E80"/>
    <w:rsid w:val="4A407E68"/>
    <w:rsid w:val="4A425141"/>
    <w:rsid w:val="4A6D183E"/>
    <w:rsid w:val="4AC00FE3"/>
    <w:rsid w:val="4AC4664F"/>
    <w:rsid w:val="4B43101F"/>
    <w:rsid w:val="4B831A2D"/>
    <w:rsid w:val="4B8C5A1B"/>
    <w:rsid w:val="4B9A779E"/>
    <w:rsid w:val="4BAA4805"/>
    <w:rsid w:val="4C53424A"/>
    <w:rsid w:val="4CA02851"/>
    <w:rsid w:val="4CD40000"/>
    <w:rsid w:val="4D163C3E"/>
    <w:rsid w:val="4DB0066E"/>
    <w:rsid w:val="4DED16AB"/>
    <w:rsid w:val="4DF40F01"/>
    <w:rsid w:val="4E200D3B"/>
    <w:rsid w:val="4E347AA3"/>
    <w:rsid w:val="4E813ADD"/>
    <w:rsid w:val="4F301FFB"/>
    <w:rsid w:val="4F5C68ED"/>
    <w:rsid w:val="4F8265E1"/>
    <w:rsid w:val="4FB855E9"/>
    <w:rsid w:val="4FF758B6"/>
    <w:rsid w:val="50D15247"/>
    <w:rsid w:val="512C2345"/>
    <w:rsid w:val="515A1D00"/>
    <w:rsid w:val="519C0207"/>
    <w:rsid w:val="51CE4DF0"/>
    <w:rsid w:val="523B1A46"/>
    <w:rsid w:val="52824423"/>
    <w:rsid w:val="52A82A88"/>
    <w:rsid w:val="53A60229"/>
    <w:rsid w:val="5429164F"/>
    <w:rsid w:val="54AC551B"/>
    <w:rsid w:val="55FA2FD9"/>
    <w:rsid w:val="56DB18C8"/>
    <w:rsid w:val="57B509C8"/>
    <w:rsid w:val="58546E79"/>
    <w:rsid w:val="587649C4"/>
    <w:rsid w:val="58EB2640"/>
    <w:rsid w:val="591661C0"/>
    <w:rsid w:val="593340C0"/>
    <w:rsid w:val="593560BB"/>
    <w:rsid w:val="593E7CA2"/>
    <w:rsid w:val="59551042"/>
    <w:rsid w:val="599324EC"/>
    <w:rsid w:val="59B54DBC"/>
    <w:rsid w:val="59F310C3"/>
    <w:rsid w:val="5A7668FF"/>
    <w:rsid w:val="5AD91257"/>
    <w:rsid w:val="5AF34ABD"/>
    <w:rsid w:val="5B0B6673"/>
    <w:rsid w:val="5B535D1A"/>
    <w:rsid w:val="5C4E31D9"/>
    <w:rsid w:val="5C9163EF"/>
    <w:rsid w:val="5D0358C3"/>
    <w:rsid w:val="5D655039"/>
    <w:rsid w:val="5DB73636"/>
    <w:rsid w:val="5E2E29DB"/>
    <w:rsid w:val="5FB33ED8"/>
    <w:rsid w:val="5FCF7F47"/>
    <w:rsid w:val="606326E4"/>
    <w:rsid w:val="60A35A27"/>
    <w:rsid w:val="60C74A21"/>
    <w:rsid w:val="60F4059A"/>
    <w:rsid w:val="619873BC"/>
    <w:rsid w:val="61D03C31"/>
    <w:rsid w:val="61ED2B7C"/>
    <w:rsid w:val="62202C06"/>
    <w:rsid w:val="62C73780"/>
    <w:rsid w:val="62D13DCC"/>
    <w:rsid w:val="62FD1B58"/>
    <w:rsid w:val="6302244A"/>
    <w:rsid w:val="634D0270"/>
    <w:rsid w:val="63547A09"/>
    <w:rsid w:val="63D76110"/>
    <w:rsid w:val="63EF3ED8"/>
    <w:rsid w:val="644F0FB6"/>
    <w:rsid w:val="64E31BF6"/>
    <w:rsid w:val="6512485F"/>
    <w:rsid w:val="6524773E"/>
    <w:rsid w:val="65A645AF"/>
    <w:rsid w:val="65B00957"/>
    <w:rsid w:val="65C54843"/>
    <w:rsid w:val="65D57061"/>
    <w:rsid w:val="662612F7"/>
    <w:rsid w:val="66325962"/>
    <w:rsid w:val="66895ED6"/>
    <w:rsid w:val="668A68F6"/>
    <w:rsid w:val="67697C8C"/>
    <w:rsid w:val="686E3FED"/>
    <w:rsid w:val="68AB2361"/>
    <w:rsid w:val="68D643E7"/>
    <w:rsid w:val="69530817"/>
    <w:rsid w:val="69B04386"/>
    <w:rsid w:val="69D15D20"/>
    <w:rsid w:val="69E77EE2"/>
    <w:rsid w:val="6A497BD0"/>
    <w:rsid w:val="6ABF60C2"/>
    <w:rsid w:val="6BEF1DD1"/>
    <w:rsid w:val="6C8851EE"/>
    <w:rsid w:val="6CBA18DE"/>
    <w:rsid w:val="6D342FA5"/>
    <w:rsid w:val="6E2470D7"/>
    <w:rsid w:val="6E524B44"/>
    <w:rsid w:val="6E9A3488"/>
    <w:rsid w:val="6EB365E5"/>
    <w:rsid w:val="6F4A519B"/>
    <w:rsid w:val="6F653F09"/>
    <w:rsid w:val="6FE50A20"/>
    <w:rsid w:val="70147557"/>
    <w:rsid w:val="701D3EBA"/>
    <w:rsid w:val="702C2AF3"/>
    <w:rsid w:val="70645DE9"/>
    <w:rsid w:val="708625A6"/>
    <w:rsid w:val="70D50035"/>
    <w:rsid w:val="70E91ACF"/>
    <w:rsid w:val="710C10F0"/>
    <w:rsid w:val="7124712B"/>
    <w:rsid w:val="713A7A58"/>
    <w:rsid w:val="7195798E"/>
    <w:rsid w:val="72177E12"/>
    <w:rsid w:val="721A7053"/>
    <w:rsid w:val="72F36989"/>
    <w:rsid w:val="73FC35FE"/>
    <w:rsid w:val="74086F1D"/>
    <w:rsid w:val="74DF0225"/>
    <w:rsid w:val="75046F0E"/>
    <w:rsid w:val="756C1E83"/>
    <w:rsid w:val="75C87229"/>
    <w:rsid w:val="76D53613"/>
    <w:rsid w:val="76E0681B"/>
    <w:rsid w:val="77100BCB"/>
    <w:rsid w:val="77855BA7"/>
    <w:rsid w:val="7793772C"/>
    <w:rsid w:val="77EE2A2C"/>
    <w:rsid w:val="788E2A8E"/>
    <w:rsid w:val="78955B8C"/>
    <w:rsid w:val="78F56D1D"/>
    <w:rsid w:val="798C7E32"/>
    <w:rsid w:val="7AA9290E"/>
    <w:rsid w:val="7B2B3FEA"/>
    <w:rsid w:val="7B3639AE"/>
    <w:rsid w:val="7BA21E8B"/>
    <w:rsid w:val="7BDF73D3"/>
    <w:rsid w:val="7BF56302"/>
    <w:rsid w:val="7C333462"/>
    <w:rsid w:val="7D9940D6"/>
    <w:rsid w:val="7DE26BE4"/>
    <w:rsid w:val="7DE82510"/>
    <w:rsid w:val="7E786F03"/>
    <w:rsid w:val="7EE37ECA"/>
    <w:rsid w:val="7F0526E2"/>
    <w:rsid w:val="7F122E3B"/>
    <w:rsid w:val="7F6663AD"/>
    <w:rsid w:val="7FA510E5"/>
    <w:rsid w:val="7FCE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semiHidden/>
    <w:unhideWhenUsed/>
    <w:qFormat/>
    <w:uiPriority w:val="99"/>
    <w:pPr>
      <w:jc w:val="left"/>
    </w:pPr>
  </w:style>
  <w:style w:type="paragraph" w:styleId="3">
    <w:name w:val="Body Text"/>
    <w:basedOn w:val="1"/>
    <w:next w:val="4"/>
    <w:autoRedefine/>
    <w:qFormat/>
    <w:uiPriority w:val="0"/>
    <w:pPr>
      <w:spacing w:line="460" w:lineRule="exact"/>
    </w:pPr>
    <w:rPr>
      <w:rFonts w:ascii="仿宋_GB2312"/>
      <w:color w:val="000000"/>
      <w:spacing w:val="8"/>
      <w:szCs w:val="24"/>
    </w:rPr>
  </w:style>
  <w:style w:type="paragraph" w:styleId="4">
    <w:name w:val="List Bullet 5"/>
    <w:basedOn w:val="1"/>
    <w:autoRedefine/>
    <w:semiHidden/>
    <w:unhideWhenUsed/>
    <w:qFormat/>
    <w:uiPriority w:val="99"/>
    <w:pPr>
      <w:numPr>
        <w:ilvl w:val="0"/>
        <w:numId w:val="1"/>
      </w:numPr>
    </w:pPr>
  </w:style>
  <w:style w:type="paragraph" w:styleId="5">
    <w:name w:val="Body Text Indent"/>
    <w:basedOn w:val="1"/>
    <w:next w:val="1"/>
    <w:autoRedefine/>
    <w:semiHidden/>
    <w:unhideWhenUsed/>
    <w:qFormat/>
    <w:uiPriority w:val="99"/>
    <w:pPr>
      <w:spacing w:after="120" w:afterLines="0" w:afterAutospacing="0"/>
      <w:ind w:left="420" w:leftChars="200"/>
    </w:pPr>
  </w:style>
  <w:style w:type="paragraph" w:styleId="6">
    <w:name w:val="Balloon Text"/>
    <w:basedOn w:val="1"/>
    <w:link w:val="23"/>
    <w:autoRedefine/>
    <w:semiHidden/>
    <w:unhideWhenUsed/>
    <w:qFormat/>
    <w:uiPriority w:val="99"/>
    <w:rPr>
      <w:sz w:val="18"/>
      <w:szCs w:val="18"/>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tabs>
        <w:tab w:val="left" w:pos="360"/>
        <w:tab w:val="left" w:pos="620"/>
      </w:tabs>
      <w:spacing w:before="240" w:after="60"/>
      <w:jc w:val="left"/>
      <w:outlineLvl w:val="0"/>
    </w:pPr>
    <w:rPr>
      <w:rFonts w:ascii="Arial" w:hAnsi="Arial" w:eastAsia="宋体"/>
      <w:b/>
      <w:sz w:val="32"/>
    </w:rPr>
  </w:style>
  <w:style w:type="paragraph" w:styleId="10">
    <w:name w:val="annotation subject"/>
    <w:basedOn w:val="2"/>
    <w:next w:val="2"/>
    <w:link w:val="22"/>
    <w:autoRedefine/>
    <w:semiHidden/>
    <w:unhideWhenUsed/>
    <w:qFormat/>
    <w:uiPriority w:val="99"/>
    <w:rPr>
      <w:b/>
      <w:bCs/>
    </w:rPr>
  </w:style>
  <w:style w:type="paragraph" w:styleId="11">
    <w:name w:val="Body Text First Indent"/>
    <w:basedOn w:val="3"/>
    <w:next w:val="1"/>
    <w:qFormat/>
    <w:uiPriority w:val="0"/>
    <w:pPr>
      <w:spacing w:after="120" w:line="240" w:lineRule="auto"/>
      <w:ind w:firstLine="420" w:firstLineChars="100"/>
    </w:pPr>
    <w:rPr>
      <w:rFonts w:ascii="Times New Roman" w:eastAsia="宋体"/>
      <w:color w:val="auto"/>
      <w:spacing w:val="0"/>
      <w:sz w:val="21"/>
      <w:lang w:val="en-US" w:eastAsia="zh-CN"/>
    </w:rPr>
  </w:style>
  <w:style w:type="paragraph" w:styleId="12">
    <w:name w:val="Body Text First Indent 2"/>
    <w:basedOn w:val="5"/>
    <w:next w:val="11"/>
    <w:autoRedefine/>
    <w:semiHidden/>
    <w:unhideWhenUsed/>
    <w:qFormat/>
    <w:uiPriority w:val="99"/>
    <w:pPr>
      <w:ind w:firstLine="420" w:firstLineChars="200"/>
    </w:p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8"/>
    <w:autoRedefine/>
    <w:semiHidden/>
    <w:qFormat/>
    <w:uiPriority w:val="99"/>
    <w:rPr>
      <w:sz w:val="18"/>
      <w:szCs w:val="18"/>
    </w:rPr>
  </w:style>
  <w:style w:type="character" w:customStyle="1" w:styleId="17">
    <w:name w:val="页脚 Char"/>
    <w:basedOn w:val="14"/>
    <w:link w:val="7"/>
    <w:semiHidden/>
    <w:qFormat/>
    <w:uiPriority w:val="99"/>
    <w:rPr>
      <w:sz w:val="18"/>
      <w:szCs w:val="18"/>
    </w:rPr>
  </w:style>
  <w:style w:type="character" w:customStyle="1" w:styleId="18">
    <w:name w:val="排版正文 Char Char"/>
    <w:link w:val="19"/>
    <w:autoRedefine/>
    <w:qFormat/>
    <w:locked/>
    <w:uiPriority w:val="0"/>
    <w:rPr>
      <w:rFonts w:ascii="仿宋_GB2312" w:hAnsi="Times New Roman" w:eastAsia="仿宋_GB2312"/>
      <w:spacing w:val="8"/>
      <w:sz w:val="28"/>
      <w:szCs w:val="21"/>
    </w:rPr>
  </w:style>
  <w:style w:type="paragraph" w:customStyle="1" w:styleId="19">
    <w:name w:val="排版正文"/>
    <w:link w:val="18"/>
    <w:autoRedefine/>
    <w:qFormat/>
    <w:uiPriority w:val="0"/>
    <w:pPr>
      <w:widowControl w:val="0"/>
      <w:spacing w:line="460" w:lineRule="exact"/>
      <w:ind w:firstLine="200" w:firstLineChars="200"/>
      <w:jc w:val="both"/>
    </w:pPr>
    <w:rPr>
      <w:rFonts w:ascii="仿宋_GB2312" w:hAnsi="Times New Roman" w:eastAsia="仿宋_GB2312" w:cstheme="minorBidi"/>
      <w:spacing w:val="8"/>
      <w:kern w:val="2"/>
      <w:sz w:val="28"/>
      <w:szCs w:val="21"/>
      <w:lang w:val="en-US" w:eastAsia="zh-CN" w:bidi="ar-SA"/>
    </w:rPr>
  </w:style>
  <w:style w:type="paragraph" w:styleId="20">
    <w:name w:val="List Paragraph"/>
    <w:basedOn w:val="1"/>
    <w:autoRedefine/>
    <w:qFormat/>
    <w:uiPriority w:val="34"/>
    <w:pPr>
      <w:ind w:firstLine="420" w:firstLineChars="200"/>
    </w:pPr>
  </w:style>
  <w:style w:type="character" w:customStyle="1" w:styleId="21">
    <w:name w:val="批注文字 Char"/>
    <w:basedOn w:val="14"/>
    <w:link w:val="2"/>
    <w:autoRedefine/>
    <w:semiHidden/>
    <w:qFormat/>
    <w:uiPriority w:val="99"/>
  </w:style>
  <w:style w:type="character" w:customStyle="1" w:styleId="22">
    <w:name w:val="批注主题 Char"/>
    <w:basedOn w:val="21"/>
    <w:link w:val="10"/>
    <w:autoRedefine/>
    <w:semiHidden/>
    <w:qFormat/>
    <w:uiPriority w:val="99"/>
    <w:rPr>
      <w:b/>
      <w:bCs/>
    </w:rPr>
  </w:style>
  <w:style w:type="character" w:customStyle="1" w:styleId="23">
    <w:name w:val="批注框文本 Char"/>
    <w:basedOn w:val="14"/>
    <w:link w:val="6"/>
    <w:autoRedefine/>
    <w:semiHidden/>
    <w:qFormat/>
    <w:uiPriority w:val="99"/>
    <w:rPr>
      <w:sz w:val="18"/>
      <w:szCs w:val="18"/>
    </w:rPr>
  </w:style>
  <w:style w:type="paragraph" w:customStyle="1" w:styleId="24">
    <w:name w:val="正文 + 四号"/>
    <w:basedOn w:val="1"/>
    <w:autoRedefine/>
    <w:qFormat/>
    <w:uiPriority w:val="0"/>
    <w:pPr>
      <w:widowControl/>
      <w:spacing w:line="490" w:lineRule="exact"/>
      <w:ind w:firstLine="200" w:firstLineChars="200"/>
    </w:pPr>
    <w:rPr>
      <w:rFonts w:ascii="Times New Roman" w:hAnsi="Times New Roman" w:eastAsia="仿宋_GB2312" w:cs="Times New Roman"/>
      <w:color w:val="000000"/>
      <w:kern w:val="0"/>
      <w:sz w:val="28"/>
      <w:szCs w:val="21"/>
    </w:rPr>
  </w:style>
  <w:style w:type="character" w:customStyle="1" w:styleId="25">
    <w:name w:val="标题 2 Char"/>
    <w:qFormat/>
    <w:uiPriority w:val="0"/>
    <w:rPr>
      <w:rFonts w:ascii="宋体" w:hAnsi="宋体" w:eastAsia="宋体"/>
      <w:b/>
      <w:sz w:val="24"/>
      <w:szCs w:val="24"/>
      <w:lang w:val="en-US" w:eastAsia="zh-CN" w:bidi="ar-SA"/>
    </w:rPr>
  </w:style>
  <w:style w:type="paragraph" w:customStyle="1" w:styleId="26">
    <w:name w:val="段"/>
    <w:qFormat/>
    <w:uiPriority w:val="0"/>
    <w:pPr>
      <w:autoSpaceDE w:val="0"/>
      <w:autoSpaceDN w:val="0"/>
      <w:ind w:firstLine="200" w:firstLineChars="200"/>
      <w:jc w:val="both"/>
    </w:pPr>
    <w:rPr>
      <w:rFonts w:ascii="宋体" w:hAnsi="等线" w:eastAsia="等线" w:cs="Times New Roman"/>
      <w:kern w:val="2"/>
      <w:sz w:val="21"/>
      <w:szCs w:val="21"/>
      <w:lang w:val="en-US" w:eastAsia="zh-CN" w:bidi="ar-SA"/>
    </w:rPr>
  </w:style>
  <w:style w:type="paragraph" w:customStyle="1" w:styleId="27">
    <w:name w:val="正文字样"/>
    <w:basedOn w:val="9"/>
    <w:autoRedefine/>
    <w:qFormat/>
    <w:uiPriority w:val="0"/>
    <w:pPr>
      <w:spacing w:before="0" w:after="0" w:line="490" w:lineRule="exact"/>
      <w:ind w:firstLine="200" w:firstLineChars="200"/>
      <w:jc w:val="both"/>
      <w:outlineLvl w:val="9"/>
    </w:pPr>
    <w:rPr>
      <w:rFonts w:ascii="Times New Roman" w:hAnsi="Times New Roman" w:eastAsia="仿宋_GB2312"/>
      <w:b w:val="0"/>
      <w:bCs/>
      <w:color w:val="000000"/>
      <w:sz w:val="28"/>
      <w:szCs w:val="28"/>
    </w:rPr>
  </w:style>
  <w:style w:type="paragraph" w:customStyle="1" w:styleId="28">
    <w:name w:val="Default"/>
    <w:autoRedefine/>
    <w:qFormat/>
    <w:uiPriority w:val="0"/>
    <w:pPr>
      <w:widowControl w:val="0"/>
      <w:autoSpaceDE w:val="0"/>
      <w:autoSpaceDN w:val="0"/>
      <w:adjustRightInd w:val="0"/>
      <w:spacing w:line="490" w:lineRule="exact"/>
      <w:ind w:firstLine="422" w:firstLineChars="200"/>
    </w:pPr>
    <w:rPr>
      <w:rFonts w:ascii="Times New Roman" w:hAnsi="Times New Roman" w:eastAsia="仿宋_GB2312" w:cs="宋体"/>
      <w:color w:val="000000"/>
      <w:kern w:val="2"/>
      <w:sz w:val="28"/>
      <w:szCs w:val="24"/>
      <w:lang w:val="en-US" w:eastAsia="zh-CN" w:bidi="ar-SA"/>
    </w:rPr>
  </w:style>
  <w:style w:type="paragraph" w:customStyle="1" w:styleId="29">
    <w:name w:val="图表标题栏"/>
    <w:basedOn w:val="30"/>
    <w:qFormat/>
    <w:uiPriority w:val="0"/>
  </w:style>
  <w:style w:type="paragraph" w:customStyle="1" w:styleId="30">
    <w:name w:val="图表标题"/>
    <w:basedOn w:val="1"/>
    <w:autoRedefine/>
    <w:qFormat/>
    <w:uiPriority w:val="99"/>
    <w:pPr>
      <w:jc w:val="center"/>
    </w:pPr>
    <w:rPr>
      <w:rFonts w:ascii="Times New Roman" w:hAnsi="Times New Roman"/>
      <w:b/>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A8D332-0D06-4AF6-943B-D4197465BD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1186</Words>
  <Characters>1239</Characters>
  <Lines>6</Lines>
  <Paragraphs>1</Paragraphs>
  <TotalTime>0</TotalTime>
  <ScaleCrop>false</ScaleCrop>
  <LinksUpToDate>false</LinksUpToDate>
  <CharactersWithSpaces>1240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2020-04-20T09:11:00Z</dcterms:created>
  <dc:creator>微软用户</dc:creator>
  <cp:lastModifiedBy>谢薇</cp:lastModifiedBy>
  <dcterms:modified xsi:type="dcterms:W3CDTF">2024-09-09T07:12:35Z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115098DA71D148B88D029956B58E938E</vt:lpwstr>
  </property>
</Properties>
</file>