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5"/>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茂名市潭桥企业管理有限公司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茂名市潭桥企业管理有限公司新建茂名市潭桥加油站项目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茂名市茂南区茂羊路北侧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bookmarkStart w:id="0" w:name="_GoBack"/>
            <w:bookmarkEnd w:id="0"/>
            <w:r>
              <w:rPr>
                <w:rFonts w:hint="eastAsia" w:ascii="仿宋" w:hAnsi="仿宋" w:eastAsia="仿宋" w:cs="Times New Roman"/>
                <w:szCs w:val="21"/>
                <w:lang w:eastAsia="zh-CN"/>
              </w:rPr>
              <w:t>□</w:t>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何工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该加油站建设地点为茂名市茂南区茂羊路北侧，总占地面积为1915m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，总建筑面积约为473.4m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，设计埋设1个20m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SF双层汽油罐、1个25m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SF双层汽油罐，1个30m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SF双层汽油罐，1个30m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SF双层柴油罐，3台6枪18支潜油泵型加油机以及相应油气回收等相关配套设备。该加油站油罐总容量90m</w:t>
            </w:r>
            <w:r>
              <w:rPr>
                <w:rFonts w:hint="eastAsia" w:ascii="仿宋" w:hAnsi="仿宋" w:eastAsia="仿宋" w:cs="Times New Roman"/>
                <w:szCs w:val="21"/>
                <w:vertAlign w:val="superscript"/>
                <w:lang w:val="en-US" w:eastAsia="zh-CN"/>
              </w:rPr>
              <w:t>3</w:t>
            </w:r>
            <w:r>
              <w:rPr>
                <w:rFonts w:hint="eastAsia" w:ascii="仿宋" w:hAnsi="仿宋" w:eastAsia="仿宋" w:cs="Times New Roman"/>
                <w:szCs w:val="21"/>
                <w:lang w:val="en-US" w:eastAsia="zh-CN"/>
              </w:rPr>
              <w:t>（柴油折半计算），属三级加油站。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丁伦、何芬</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11</w:t>
            </w:r>
            <w:r>
              <w:rPr>
                <w:rFonts w:hint="eastAsia" w:ascii="仿宋" w:hAnsi="仿宋" w:eastAsia="仿宋" w:cs="Times New Roman"/>
                <w:szCs w:val="21"/>
                <w:lang w:val="en-US" w:eastAsia="zh-CN"/>
              </w:rPr>
              <w:t>.14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何工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陶祥飞、魏和玉</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11</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23～25</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何工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该项目在正常经营、储存过程中，各岗位接触到的职业病危害因素包括：汽油、柴油、高温（季节性高温）。</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val="en-US" w:eastAsia="zh-CN"/>
              </w:rPr>
              <w:t>1）按照《用人单位职业健康监护监督管理办法》（原国家安监总局令第49号）、《用人单位职业卫生档案管理规范》（原安监总厅安健〔2013〕171号）的要求，根据实际生产情况，不断完善职业卫生管理规章制度与职业卫生档案，包括：职业卫生培训、应急救援演练、职业健康检查、年度职业病防治计划与实施方案等。</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2）其他建议</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加油站今后按照《用人单位职业健康监护监督管理办法》（原国家安全生产监督管理总局令第49号）、《职业健康监护技术规范》（GBZ188-2014）的要求，每年安排所有接触的职业病危害因素的员工进行相对应的上岗前、在岗期间、离岗时的职业健康检查，并完善职业卫生管理档案。各岗位具体检查项目参照本报告内容和《职业健康监护技术规范》（GBZ 188-2014）。</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（2）建议该加油站在下一年度高温季节到来前，针对高温中暑等进行相应的应急演练，并保存好相关的记录。</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（3）建议该加油站在本项目完成后，尽快完成职业病危害项目申报工作。</w:t>
            </w:r>
          </w:p>
          <w:p>
            <w:pPr>
              <w:numPr>
                <w:ilvl w:val="0"/>
                <w:numId w:val="0"/>
              </w:num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（4）建议该加油站按照《国卫办关于进一步加强用人单位职业健康培训工作的通知》（国卫办职健函〔2022〕441号）的要求，每年定期组织员工进行职业卫生的相关培训，并保存培训记录。</w:t>
            </w:r>
          </w:p>
          <w:p>
            <w:pPr>
              <w:numPr>
                <w:ilvl w:val="0"/>
                <w:numId w:val="0"/>
              </w:num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5）该加油站职业病危害风险分类为“一般”，根据《工作场所职业卫生管理规定》（中华人民共和国国家卫生健康委员会令第5号）的要求，该加油站需要委托具有相关资质的职业卫生技术服务机构每三年开展一次职业病危害因素定期检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1）补充完善职业病防护设施的调查内容；2）补充完善职业病个人防护用品、职业卫生培训的调查内容；3）专家提出的其他建议。</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NDM3MzQxZDkxMzNlMzk3NzZmMTk4ZGNjYzkzMGM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3C06BC"/>
    <w:rsid w:val="01A80200"/>
    <w:rsid w:val="038408F7"/>
    <w:rsid w:val="049B5269"/>
    <w:rsid w:val="04BD7173"/>
    <w:rsid w:val="06E17D3B"/>
    <w:rsid w:val="073C34BF"/>
    <w:rsid w:val="07AF3996"/>
    <w:rsid w:val="07FF744E"/>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108D2CE2"/>
    <w:rsid w:val="10D502CD"/>
    <w:rsid w:val="10ED3781"/>
    <w:rsid w:val="111A69C5"/>
    <w:rsid w:val="117660B3"/>
    <w:rsid w:val="11C96400"/>
    <w:rsid w:val="120C558C"/>
    <w:rsid w:val="125E728B"/>
    <w:rsid w:val="128B0826"/>
    <w:rsid w:val="12AA1929"/>
    <w:rsid w:val="12DF6FC3"/>
    <w:rsid w:val="13511DA5"/>
    <w:rsid w:val="13A05B18"/>
    <w:rsid w:val="14153CF6"/>
    <w:rsid w:val="1419666D"/>
    <w:rsid w:val="149A1346"/>
    <w:rsid w:val="153C270C"/>
    <w:rsid w:val="153F699F"/>
    <w:rsid w:val="15597637"/>
    <w:rsid w:val="15A703A2"/>
    <w:rsid w:val="15C34AB0"/>
    <w:rsid w:val="15D13671"/>
    <w:rsid w:val="15E10FC5"/>
    <w:rsid w:val="18115FA7"/>
    <w:rsid w:val="18643D3F"/>
    <w:rsid w:val="18E055E9"/>
    <w:rsid w:val="19401D7B"/>
    <w:rsid w:val="194B7296"/>
    <w:rsid w:val="1AE17EB2"/>
    <w:rsid w:val="1AE974BB"/>
    <w:rsid w:val="1B0353F5"/>
    <w:rsid w:val="1B707CB3"/>
    <w:rsid w:val="1BA77ADC"/>
    <w:rsid w:val="1C2D0D45"/>
    <w:rsid w:val="1D655E72"/>
    <w:rsid w:val="1D894E19"/>
    <w:rsid w:val="1DC8425E"/>
    <w:rsid w:val="1E021B0F"/>
    <w:rsid w:val="1F226CEB"/>
    <w:rsid w:val="1F471784"/>
    <w:rsid w:val="1F843311"/>
    <w:rsid w:val="1F8B3B8B"/>
    <w:rsid w:val="226F3FF6"/>
    <w:rsid w:val="23264FFC"/>
    <w:rsid w:val="235749A6"/>
    <w:rsid w:val="236D2C2B"/>
    <w:rsid w:val="241F37F9"/>
    <w:rsid w:val="256E263A"/>
    <w:rsid w:val="25E01C4D"/>
    <w:rsid w:val="264233C0"/>
    <w:rsid w:val="26AA663B"/>
    <w:rsid w:val="26AE4690"/>
    <w:rsid w:val="27612000"/>
    <w:rsid w:val="27AA03D2"/>
    <w:rsid w:val="27F751B9"/>
    <w:rsid w:val="28566540"/>
    <w:rsid w:val="2987570C"/>
    <w:rsid w:val="29B82129"/>
    <w:rsid w:val="29FA0C70"/>
    <w:rsid w:val="29FF0124"/>
    <w:rsid w:val="2A0D4376"/>
    <w:rsid w:val="2A692415"/>
    <w:rsid w:val="2AA85522"/>
    <w:rsid w:val="2ABD66B0"/>
    <w:rsid w:val="2C9662B4"/>
    <w:rsid w:val="2CE83322"/>
    <w:rsid w:val="2D085772"/>
    <w:rsid w:val="2D362271"/>
    <w:rsid w:val="2D49244D"/>
    <w:rsid w:val="2D7A2D69"/>
    <w:rsid w:val="2DB23294"/>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100E63"/>
    <w:rsid w:val="33E365F1"/>
    <w:rsid w:val="34982BB1"/>
    <w:rsid w:val="35511A47"/>
    <w:rsid w:val="356C7D94"/>
    <w:rsid w:val="35AD335B"/>
    <w:rsid w:val="36056CF3"/>
    <w:rsid w:val="36877708"/>
    <w:rsid w:val="3716184E"/>
    <w:rsid w:val="37343A5F"/>
    <w:rsid w:val="37DE260D"/>
    <w:rsid w:val="37FF425B"/>
    <w:rsid w:val="38B96A3E"/>
    <w:rsid w:val="38D000BE"/>
    <w:rsid w:val="38D86941"/>
    <w:rsid w:val="38F24410"/>
    <w:rsid w:val="39047736"/>
    <w:rsid w:val="39C11183"/>
    <w:rsid w:val="3B201ED9"/>
    <w:rsid w:val="3BD01B51"/>
    <w:rsid w:val="3C0761D6"/>
    <w:rsid w:val="3C5B2466"/>
    <w:rsid w:val="3CCD6FA5"/>
    <w:rsid w:val="3D2752D5"/>
    <w:rsid w:val="3D5207AE"/>
    <w:rsid w:val="3DE61259"/>
    <w:rsid w:val="3EEF07FC"/>
    <w:rsid w:val="3F473ED8"/>
    <w:rsid w:val="3F87786E"/>
    <w:rsid w:val="3FA73C06"/>
    <w:rsid w:val="3FB93A8C"/>
    <w:rsid w:val="3FFA644F"/>
    <w:rsid w:val="40884444"/>
    <w:rsid w:val="40A9471F"/>
    <w:rsid w:val="40C65ACB"/>
    <w:rsid w:val="40DB376D"/>
    <w:rsid w:val="40EA5463"/>
    <w:rsid w:val="41FA1D1A"/>
    <w:rsid w:val="422E07C5"/>
    <w:rsid w:val="42B86F16"/>
    <w:rsid w:val="42E52372"/>
    <w:rsid w:val="432F39AE"/>
    <w:rsid w:val="43AA78B4"/>
    <w:rsid w:val="43B55ADA"/>
    <w:rsid w:val="43C60BAF"/>
    <w:rsid w:val="44054362"/>
    <w:rsid w:val="442E1043"/>
    <w:rsid w:val="446950D2"/>
    <w:rsid w:val="44790C8F"/>
    <w:rsid w:val="44BA339E"/>
    <w:rsid w:val="45D63146"/>
    <w:rsid w:val="464168ED"/>
    <w:rsid w:val="46692731"/>
    <w:rsid w:val="470141D4"/>
    <w:rsid w:val="48413B21"/>
    <w:rsid w:val="49ED368F"/>
    <w:rsid w:val="49FE735A"/>
    <w:rsid w:val="4ACE72D5"/>
    <w:rsid w:val="4B901E38"/>
    <w:rsid w:val="4BCF2B77"/>
    <w:rsid w:val="4C153B45"/>
    <w:rsid w:val="4C5D11DF"/>
    <w:rsid w:val="4C932747"/>
    <w:rsid w:val="4C96179F"/>
    <w:rsid w:val="4CC820E0"/>
    <w:rsid w:val="4EC10539"/>
    <w:rsid w:val="4ED64F6F"/>
    <w:rsid w:val="4EF1188A"/>
    <w:rsid w:val="4F0534C4"/>
    <w:rsid w:val="4F440EC0"/>
    <w:rsid w:val="4FF428D3"/>
    <w:rsid w:val="50576441"/>
    <w:rsid w:val="50D852D8"/>
    <w:rsid w:val="510D4856"/>
    <w:rsid w:val="51347795"/>
    <w:rsid w:val="51AA3E0A"/>
    <w:rsid w:val="52216289"/>
    <w:rsid w:val="52545B77"/>
    <w:rsid w:val="53411E8B"/>
    <w:rsid w:val="53DD723A"/>
    <w:rsid w:val="5408268C"/>
    <w:rsid w:val="54430E1D"/>
    <w:rsid w:val="55150F1E"/>
    <w:rsid w:val="555D1CEE"/>
    <w:rsid w:val="555F1582"/>
    <w:rsid w:val="55616896"/>
    <w:rsid w:val="55FA0EFC"/>
    <w:rsid w:val="56176B82"/>
    <w:rsid w:val="5677342B"/>
    <w:rsid w:val="576F7D6A"/>
    <w:rsid w:val="57B875F5"/>
    <w:rsid w:val="57ED2E88"/>
    <w:rsid w:val="57F563A3"/>
    <w:rsid w:val="58BA59F2"/>
    <w:rsid w:val="58D84D64"/>
    <w:rsid w:val="59576FB6"/>
    <w:rsid w:val="598712B7"/>
    <w:rsid w:val="5A6C6884"/>
    <w:rsid w:val="5AF32055"/>
    <w:rsid w:val="5AF80E2D"/>
    <w:rsid w:val="5BBA6E87"/>
    <w:rsid w:val="5BF34CF4"/>
    <w:rsid w:val="5C93062A"/>
    <w:rsid w:val="5C972C81"/>
    <w:rsid w:val="5CCA3EEF"/>
    <w:rsid w:val="5CEA65C1"/>
    <w:rsid w:val="5D304EA8"/>
    <w:rsid w:val="5D4041AE"/>
    <w:rsid w:val="5DE30A49"/>
    <w:rsid w:val="5EF132A9"/>
    <w:rsid w:val="5F047CD6"/>
    <w:rsid w:val="5F6B6E2F"/>
    <w:rsid w:val="5F79574A"/>
    <w:rsid w:val="5FC26A78"/>
    <w:rsid w:val="5FCC51F4"/>
    <w:rsid w:val="60E7048E"/>
    <w:rsid w:val="613D1565"/>
    <w:rsid w:val="6291178B"/>
    <w:rsid w:val="62CF061A"/>
    <w:rsid w:val="6346377C"/>
    <w:rsid w:val="63536A40"/>
    <w:rsid w:val="639130C5"/>
    <w:rsid w:val="64C319A4"/>
    <w:rsid w:val="64CE2C89"/>
    <w:rsid w:val="64DD2A65"/>
    <w:rsid w:val="64FA69CA"/>
    <w:rsid w:val="653603C7"/>
    <w:rsid w:val="654A6052"/>
    <w:rsid w:val="658A7316"/>
    <w:rsid w:val="66CA654C"/>
    <w:rsid w:val="674F5001"/>
    <w:rsid w:val="697C2783"/>
    <w:rsid w:val="6996483B"/>
    <w:rsid w:val="69C14110"/>
    <w:rsid w:val="69E610C3"/>
    <w:rsid w:val="6A24046B"/>
    <w:rsid w:val="6A706DE0"/>
    <w:rsid w:val="6A7476A4"/>
    <w:rsid w:val="6A9927D9"/>
    <w:rsid w:val="6B2B0AAB"/>
    <w:rsid w:val="6B9E2823"/>
    <w:rsid w:val="6BAA399C"/>
    <w:rsid w:val="6BE64FD6"/>
    <w:rsid w:val="6BEE0F72"/>
    <w:rsid w:val="6C0522FA"/>
    <w:rsid w:val="6C830396"/>
    <w:rsid w:val="6CF7283B"/>
    <w:rsid w:val="6DBF6A6A"/>
    <w:rsid w:val="6DC06017"/>
    <w:rsid w:val="6E5B49FB"/>
    <w:rsid w:val="6F09453C"/>
    <w:rsid w:val="6F40631D"/>
    <w:rsid w:val="70585696"/>
    <w:rsid w:val="70BF1417"/>
    <w:rsid w:val="70E4517B"/>
    <w:rsid w:val="72244309"/>
    <w:rsid w:val="72634067"/>
    <w:rsid w:val="726E598B"/>
    <w:rsid w:val="72DF3E4C"/>
    <w:rsid w:val="731E2BC7"/>
    <w:rsid w:val="73852C46"/>
    <w:rsid w:val="739509AF"/>
    <w:rsid w:val="741037BE"/>
    <w:rsid w:val="74666840"/>
    <w:rsid w:val="74AC17DB"/>
    <w:rsid w:val="74C83AAD"/>
    <w:rsid w:val="74DB09F6"/>
    <w:rsid w:val="77115FC5"/>
    <w:rsid w:val="775D17E4"/>
    <w:rsid w:val="77724D2A"/>
    <w:rsid w:val="78611430"/>
    <w:rsid w:val="797C4722"/>
    <w:rsid w:val="79F541C1"/>
    <w:rsid w:val="7A3F4800"/>
    <w:rsid w:val="7B2F1B69"/>
    <w:rsid w:val="7B3F5344"/>
    <w:rsid w:val="7B811F45"/>
    <w:rsid w:val="7B902188"/>
    <w:rsid w:val="7BCA229A"/>
    <w:rsid w:val="7BDD144D"/>
    <w:rsid w:val="7BEB19FB"/>
    <w:rsid w:val="7C097B3F"/>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keepNext/>
      <w:keepLines/>
      <w:ind w:firstLine="0" w:firstLineChars="0"/>
      <w:jc w:val="left"/>
      <w:outlineLvl w:val="0"/>
    </w:pPr>
    <w:rPr>
      <w:b/>
      <w:bCs/>
      <w:kern w:val="44"/>
      <w:sz w:val="30"/>
      <w:szCs w:val="44"/>
    </w:rPr>
  </w:style>
  <w:style w:type="paragraph" w:styleId="3">
    <w:name w:val="heading 2"/>
    <w:basedOn w:val="1"/>
    <w:next w:val="1"/>
    <w:link w:val="29"/>
    <w:autoRedefine/>
    <w:unhideWhenUsed/>
    <w:qFormat/>
    <w:uiPriority w:val="9"/>
    <w:pPr>
      <w:keepNext/>
      <w:keepLines/>
      <w:ind w:firstLine="0" w:firstLineChars="0"/>
      <w:jc w:val="left"/>
      <w:outlineLvl w:val="1"/>
    </w:pPr>
    <w:rPr>
      <w:rFonts w:cstheme="majorBidi"/>
      <w:b/>
      <w:bCs/>
      <w:szCs w:val="32"/>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unhideWhenUsed/>
    <w:qFormat/>
    <w:uiPriority w:val="99"/>
    <w:pPr>
      <w:jc w:val="left"/>
    </w:pPr>
  </w:style>
  <w:style w:type="paragraph" w:styleId="5">
    <w:name w:val="Body Text"/>
    <w:basedOn w:val="1"/>
    <w:autoRedefine/>
    <w:unhideWhenUsed/>
    <w:qFormat/>
    <w:uiPriority w:val="0"/>
    <w:pPr>
      <w:spacing w:after="120"/>
    </w:pPr>
    <w:rPr>
      <w:kern w:val="0"/>
      <w:sz w:val="20"/>
    </w:rPr>
  </w:style>
  <w:style w:type="paragraph" w:styleId="6">
    <w:name w:val="Body Text Indent"/>
    <w:basedOn w:val="1"/>
    <w:autoRedefine/>
    <w:semiHidden/>
    <w:unhideWhenUsed/>
    <w:qFormat/>
    <w:uiPriority w:val="99"/>
    <w:pPr>
      <w:spacing w:after="120" w:afterLines="0" w:afterAutospacing="0"/>
      <w:ind w:left="420" w:leftChars="200"/>
    </w:pPr>
  </w:style>
  <w:style w:type="paragraph" w:styleId="7">
    <w:name w:val="Plain Text"/>
    <w:basedOn w:val="1"/>
    <w:autoRedefine/>
    <w:qFormat/>
    <w:uiPriority w:val="0"/>
    <w:rPr>
      <w:rFonts w:ascii="宋体" w:hAnsi="Courier New" w:eastAsia="宋体"/>
      <w:kern w:val="0"/>
      <w:sz w:val="20"/>
      <w:szCs w:val="20"/>
    </w:rPr>
  </w:style>
  <w:style w:type="paragraph" w:styleId="8">
    <w:name w:val="List Bullet 5"/>
    <w:basedOn w:val="1"/>
    <w:autoRedefine/>
    <w:semiHidden/>
    <w:unhideWhenUsed/>
    <w:qFormat/>
    <w:uiPriority w:val="99"/>
    <w:pPr>
      <w:numPr>
        <w:ilvl w:val="0"/>
        <w:numId w:val="1"/>
      </w:numPr>
    </w:pPr>
  </w:style>
  <w:style w:type="paragraph" w:styleId="9">
    <w:name w:val="Balloon Text"/>
    <w:basedOn w:val="1"/>
    <w:link w:val="25"/>
    <w:autoRedefine/>
    <w:semiHidden/>
    <w:unhideWhenUsed/>
    <w:qFormat/>
    <w:uiPriority w:val="99"/>
    <w:rPr>
      <w:sz w:val="18"/>
      <w:szCs w:val="18"/>
    </w:rPr>
  </w:style>
  <w:style w:type="paragraph" w:styleId="10">
    <w:name w:val="footer"/>
    <w:basedOn w:val="1"/>
    <w:link w:val="19"/>
    <w:autoRedefine/>
    <w:semiHidden/>
    <w:unhideWhenUsed/>
    <w:qFormat/>
    <w:uiPriority w:val="99"/>
    <w:pPr>
      <w:tabs>
        <w:tab w:val="center" w:pos="4153"/>
        <w:tab w:val="right" w:pos="8306"/>
      </w:tabs>
      <w:snapToGrid w:val="0"/>
      <w:jc w:val="left"/>
    </w:pPr>
    <w:rPr>
      <w:sz w:val="18"/>
      <w:szCs w:val="18"/>
    </w:rPr>
  </w:style>
  <w:style w:type="paragraph" w:styleId="11">
    <w:name w:val="header"/>
    <w:basedOn w:val="1"/>
    <w:link w:val="1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4"/>
    <w:autoRedefine/>
    <w:semiHidden/>
    <w:unhideWhenUsed/>
    <w:qFormat/>
    <w:uiPriority w:val="99"/>
    <w:rPr>
      <w:b/>
      <w:bCs/>
    </w:rPr>
  </w:style>
  <w:style w:type="paragraph" w:styleId="13">
    <w:name w:val="Body Text First Indent"/>
    <w:basedOn w:val="5"/>
    <w:autoRedefine/>
    <w:qFormat/>
    <w:uiPriority w:val="0"/>
    <w:pPr>
      <w:ind w:firstLine="420" w:firstLineChars="100"/>
    </w:pPr>
    <w:rPr>
      <w:rFonts w:ascii="Times New Roman" w:eastAsia="宋体"/>
      <w:szCs w:val="20"/>
    </w:rPr>
  </w:style>
  <w:style w:type="paragraph" w:styleId="14">
    <w:name w:val="Body Text First Indent 2"/>
    <w:basedOn w:val="6"/>
    <w:autoRedefine/>
    <w:semiHidden/>
    <w:unhideWhenUsed/>
    <w:qFormat/>
    <w:uiPriority w:val="99"/>
    <w:pPr>
      <w:ind w:firstLine="420" w:firstLineChars="200"/>
    </w:pPr>
  </w:style>
  <w:style w:type="character" w:styleId="17">
    <w:name w:val="annotation reference"/>
    <w:basedOn w:val="16"/>
    <w:autoRedefine/>
    <w:semiHidden/>
    <w:unhideWhenUsed/>
    <w:qFormat/>
    <w:uiPriority w:val="99"/>
    <w:rPr>
      <w:sz w:val="21"/>
      <w:szCs w:val="21"/>
    </w:rPr>
  </w:style>
  <w:style w:type="character" w:customStyle="1" w:styleId="18">
    <w:name w:val="页眉 Char"/>
    <w:basedOn w:val="16"/>
    <w:link w:val="11"/>
    <w:autoRedefine/>
    <w:semiHidden/>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排版正文 Char Char"/>
    <w:link w:val="21"/>
    <w:autoRedefine/>
    <w:qFormat/>
    <w:locked/>
    <w:uiPriority w:val="0"/>
    <w:rPr>
      <w:rFonts w:ascii="仿宋_GB2312" w:hAnsi="Times New Roman" w:eastAsia="仿宋_GB2312"/>
      <w:spacing w:val="8"/>
      <w:sz w:val="28"/>
      <w:szCs w:val="21"/>
    </w:rPr>
  </w:style>
  <w:style w:type="paragraph" w:customStyle="1" w:styleId="21">
    <w:name w:val="排版正文"/>
    <w:link w:val="20"/>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2">
    <w:name w:val="List Paragraph"/>
    <w:basedOn w:val="1"/>
    <w:autoRedefine/>
    <w:qFormat/>
    <w:uiPriority w:val="34"/>
    <w:pPr>
      <w:ind w:firstLine="420" w:firstLineChars="200"/>
    </w:pPr>
  </w:style>
  <w:style w:type="character" w:customStyle="1" w:styleId="23">
    <w:name w:val="批注文字 Char"/>
    <w:basedOn w:val="16"/>
    <w:link w:val="4"/>
    <w:autoRedefine/>
    <w:semiHidden/>
    <w:qFormat/>
    <w:uiPriority w:val="99"/>
  </w:style>
  <w:style w:type="character" w:customStyle="1" w:styleId="24">
    <w:name w:val="批注主题 Char"/>
    <w:basedOn w:val="23"/>
    <w:link w:val="12"/>
    <w:autoRedefine/>
    <w:semiHidden/>
    <w:qFormat/>
    <w:uiPriority w:val="99"/>
    <w:rPr>
      <w:b/>
      <w:bCs/>
    </w:rPr>
  </w:style>
  <w:style w:type="character" w:customStyle="1" w:styleId="25">
    <w:name w:val="批注框文本 Char"/>
    <w:basedOn w:val="16"/>
    <w:link w:val="9"/>
    <w:autoRedefine/>
    <w:semiHidden/>
    <w:qFormat/>
    <w:uiPriority w:val="99"/>
    <w:rPr>
      <w:sz w:val="18"/>
      <w:szCs w:val="18"/>
    </w:rPr>
  </w:style>
  <w:style w:type="character" w:customStyle="1" w:styleId="26">
    <w:name w:val="正文 Char"/>
    <w:basedOn w:val="16"/>
    <w:link w:val="27"/>
    <w:autoRedefine/>
    <w:qFormat/>
    <w:uiPriority w:val="0"/>
    <w:rPr>
      <w:rFonts w:cs="Times New Roman"/>
    </w:rPr>
  </w:style>
  <w:style w:type="paragraph" w:customStyle="1" w:styleId="27">
    <w:name w:val="正文1"/>
    <w:basedOn w:val="1"/>
    <w:link w:val="26"/>
    <w:autoRedefine/>
    <w:qFormat/>
    <w:uiPriority w:val="0"/>
    <w:pPr>
      <w:ind w:firstLine="560"/>
    </w:pPr>
    <w:rPr>
      <w:rFonts w:cs="Times New Roman"/>
    </w:rPr>
  </w:style>
  <w:style w:type="paragraph" w:customStyle="1" w:styleId="28">
    <w:name w:val="wzw"/>
    <w:basedOn w:val="1"/>
    <w:autoRedefine/>
    <w:qFormat/>
    <w:uiPriority w:val="0"/>
    <w:pPr>
      <w:widowControl/>
      <w:spacing w:line="490" w:lineRule="exact"/>
      <w:ind w:firstLine="561"/>
      <w:jc w:val="left"/>
    </w:pPr>
    <w:rPr>
      <w:rFonts w:ascii="Times New Roman"/>
      <w:bCs/>
      <w:color w:val="0070C0"/>
      <w:sz w:val="28"/>
      <w:szCs w:val="20"/>
    </w:rPr>
  </w:style>
  <w:style w:type="character" w:customStyle="1" w:styleId="29">
    <w:name w:val="标题 2 Char2"/>
    <w:link w:val="3"/>
    <w:autoRedefine/>
    <w:qFormat/>
    <w:uiPriority w:val="0"/>
    <w:rPr>
      <w:rFonts w:cstheme="majorBidi"/>
      <w:b/>
      <w:bCs/>
      <w:szCs w:val="32"/>
    </w:rPr>
  </w:style>
  <w:style w:type="paragraph" w:customStyle="1" w:styleId="30">
    <w:name w:val="正文样式"/>
    <w:basedOn w:val="1"/>
    <w:autoRedefine/>
    <w:qFormat/>
    <w:uiPriority w:val="0"/>
    <w:pPr>
      <w:spacing w:line="490" w:lineRule="exact"/>
      <w:ind w:firstLine="200" w:firstLineChars="200"/>
    </w:pPr>
    <w:rPr>
      <w:rFonts w:ascii="Times New Roman"/>
      <w:color w:val="000000"/>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2024-03-29T06:18:17Z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AA43A60CEDF4406DB74EB5DCF712EDB5_12</vt:lpwstr>
  </property>
</Properties>
</file>