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04"/>
        <w:gridCol w:w="2724"/>
        <w:gridCol w:w="1076"/>
        <w:gridCol w:w="1718"/>
        <w:gridCol w:w="984"/>
        <w:gridCol w:w="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6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用人单位</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英德市隆盛金属有限公司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w:t>
            </w:r>
            <w:r>
              <w:rPr>
                <w:rFonts w:ascii="仿宋" w:hAnsi="仿宋" w:eastAsia="仿宋" w:cs="Times New Roman"/>
                <w:szCs w:val="21"/>
              </w:rPr>
              <w:t>地址</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英德市东华镇英东工业项目区鱼湾金竹园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单位联系人</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林先生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154"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项目简介</w:t>
            </w:r>
          </w:p>
        </w:tc>
        <w:tc>
          <w:tcPr>
            <w:tcW w:w="4154" w:type="pct"/>
            <w:gridSpan w:val="5"/>
            <w:tcBorders>
              <w:top w:val="single" w:color="auto" w:sz="4" w:space="0"/>
              <w:left w:val="single" w:color="auto" w:sz="4" w:space="0"/>
              <w:bottom w:val="single" w:color="auto" w:sz="4" w:space="0"/>
            </w:tcBorders>
            <w:vAlign w:val="center"/>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该公司位于英德市东华镇英东工业项目区鱼湾金竹园，现阶段主要生产电解铜，现有员工72人。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现场调查人员</w:t>
            </w:r>
          </w:p>
        </w:tc>
        <w:tc>
          <w:tcPr>
            <w:tcW w:w="1530"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丁伦</w:t>
            </w:r>
            <w:r>
              <w:rPr>
                <w:rFonts w:hint="default" w:ascii="仿宋" w:hAnsi="仿宋" w:eastAsia="仿宋" w:cs="Times New Roman"/>
                <w:szCs w:val="21"/>
                <w:lang w:val="en-US" w:eastAsia="zh-CN"/>
              </w:rPr>
              <w:t>、</w:t>
            </w:r>
            <w:r>
              <w:rPr>
                <w:rFonts w:hint="eastAsia" w:ascii="仿宋" w:hAnsi="仿宋" w:eastAsia="仿宋" w:cs="Times New Roman"/>
                <w:szCs w:val="21"/>
                <w:lang w:val="en-US" w:eastAsia="zh-CN"/>
              </w:rPr>
              <w:t>刘霞</w:t>
            </w:r>
          </w:p>
        </w:tc>
        <w:tc>
          <w:tcPr>
            <w:tcW w:w="60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调查时间</w:t>
            </w:r>
          </w:p>
        </w:tc>
        <w:tc>
          <w:tcPr>
            <w:tcW w:w="96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w:t>
            </w:r>
            <w:r>
              <w:rPr>
                <w:rFonts w:hint="eastAsia" w:ascii="仿宋" w:hAnsi="仿宋" w:eastAsia="仿宋" w:cs="Times New Roman"/>
                <w:szCs w:val="21"/>
                <w:lang w:val="en-US" w:eastAsia="zh-CN"/>
              </w:rPr>
              <w:t>3.8.25</w:t>
            </w:r>
          </w:p>
        </w:tc>
        <w:tc>
          <w:tcPr>
            <w:tcW w:w="55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林先生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845" w:type="pct"/>
            <w:tcBorders>
              <w:top w:val="single" w:color="auto" w:sz="4" w:space="0"/>
              <w:right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检测人员</w:t>
            </w:r>
          </w:p>
        </w:tc>
        <w:tc>
          <w:tcPr>
            <w:tcW w:w="1530"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游海、李琳</w:t>
            </w:r>
          </w:p>
        </w:tc>
        <w:tc>
          <w:tcPr>
            <w:tcW w:w="60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检测时间</w:t>
            </w:r>
          </w:p>
        </w:tc>
        <w:tc>
          <w:tcPr>
            <w:tcW w:w="965"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2023</w:t>
            </w:r>
            <w:r>
              <w:rPr>
                <w:rFonts w:hint="eastAsia" w:ascii="仿宋" w:hAnsi="仿宋" w:eastAsia="仿宋" w:cs="Times New Roman"/>
                <w:szCs w:val="21"/>
                <w:lang w:val="en-US" w:eastAsia="zh-CN"/>
              </w:rPr>
              <w:t>.9.7~9.9</w:t>
            </w:r>
          </w:p>
        </w:tc>
        <w:tc>
          <w:tcPr>
            <w:tcW w:w="552"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陪同人</w:t>
            </w:r>
          </w:p>
        </w:tc>
        <w:tc>
          <w:tcPr>
            <w:tcW w:w="500"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林先生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left"/>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该公司存在的职业病危害因素包括：铜及其化合物（铜烟、铜尘）、氧化锌、铅及其化合物（铅烟）、二氧化锡、锑及其化合物、镍及其化合物、砷及其化合物、一氧化碳、氢氧化钠、硫酸及三氧化硫、氯化氢及盐酸、二氧化碳、锰及其化合物、氮氧化合物、臭氧、矽尘、水泥粉尘、木粉尘、电焊烟尘、铁及其化合物粉尘、噪声、高温、工频电磁场、紫外线。</w:t>
            </w:r>
          </w:p>
          <w:p>
            <w:pPr>
              <w:spacing w:line="340" w:lineRule="exact"/>
              <w:jc w:val="left"/>
              <w:rPr>
                <w:rFonts w:hint="eastAsia" w:ascii="仿宋" w:hAnsi="仿宋" w:eastAsia="仿宋" w:cs="Times New Roman"/>
                <w:szCs w:val="21"/>
                <w:lang w:eastAsia="zh-CN"/>
              </w:rPr>
            </w:pPr>
            <w:r>
              <w:rPr>
                <w:rFonts w:hint="eastAsia" w:ascii="仿宋" w:hAnsi="仿宋" w:eastAsia="仿宋" w:cs="Times New Roman"/>
                <w:szCs w:val="21"/>
                <w:lang w:eastAsia="zh-CN"/>
              </w:rPr>
              <w:t>职业病危害因素检测结果：</w:t>
            </w:r>
          </w:p>
          <w:p>
            <w:pPr>
              <w:spacing w:line="34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lang w:val="en-US" w:eastAsia="zh-CN"/>
              </w:rPr>
              <w:t>各岗位生产性毒物、粉尘、噪声、高温、紫外辐射、工频电场的检测结果均低于接触限值。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rPr>
              <w:t>评价</w:t>
            </w:r>
            <w:r>
              <w:rPr>
                <w:rFonts w:hint="eastAsia" w:ascii="仿宋" w:hAnsi="仿宋" w:eastAsia="仿宋" w:cs="Times New Roman"/>
                <w:szCs w:val="21"/>
                <w:lang w:val="en-US" w:eastAsia="zh-CN"/>
              </w:rPr>
              <w:t>结论与建议</w:t>
            </w:r>
          </w:p>
          <w:p>
            <w:pPr>
              <w:spacing w:line="340" w:lineRule="exact"/>
              <w:ind w:firstLine="420" w:firstLineChars="200"/>
              <w:jc w:val="both"/>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职业病危害风险分类：严重</w:t>
            </w:r>
          </w:p>
          <w:p>
            <w:pPr>
              <w:spacing w:line="340" w:lineRule="exact"/>
              <w:ind w:firstLine="420" w:firstLineChars="200"/>
              <w:jc w:val="both"/>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建议：</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1）建议该公司今后在对职业病防护设施（包括除尘系统、除酸雾塔、通风橱及其相应的输送管道、罩口等）进行检维修时，保存好检维修记录。</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2）建议该公司在化验室、大电解车间、小电解车间、净化车间增设冲淋洗眼器，并保证所设置的冲淋洗眼器距离车间各作业区域/作业点的有效距离小于15m。</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3）建议该公司今后按照《用人单位职业健康监护监督管理办法》（原国家安全生产监督管理总局令第49号）、《职业健康监护技术规范》（GBZ188-2014）的要求，每年安排各车间所有接触的职业病危害因素的员工进行相对应的上岗前、在岗期间、离岗时的职业健康检查，并妥善保管职业健康检查报告，完善职业卫生管理档案。各岗位具体检查项目参照本报告内容和《职业健康监护技术规范》（GBZ 188-2014）。</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4）建议该公司为接触酸性气体（硫酸及三氧化硫、氯化氢及盐酸）的作业人员配备可防酸性气体的滤毒盒，如保为康3607型滤毒盒。</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5）建议该公司现场管理人员、职业卫生管理人员在日常管理工作中，加强对员工职业病防护用品佩戴情况的监督管理，并在工作结束后对员工的安全教育中增加对工人进行职业卫生管理教育，加强其个人防护意识。</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6）建议该公司组织作业人员进行化学品泄漏、高温中暑等的应急演练，并保存演练记录。</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7）建议该公司在厂区显眼位置设置职业卫生公告栏，并在职业卫生公告栏上公告职业卫生管理制度、操作规程及职业卫生检测结果等内容。</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8）建议该公司在现有的职业病危害告知书的基础上完善告知内容，如所接触的职业病危害因素、可能导致的职业病、职业禁忌证以及所设置的职业病防护措施等内容。</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9）建议该公司继续完善职业卫生管理档案、职业病危害因素监测与检测评价档案，职业卫生宣传培训档案、用人单位职业健康监护管理档案和劳动者个人职业健康监护档案。</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10）建议该公司在火法精炼车间设置“注意通风”“注意防尘”“当心中暑”“噪声有害”“戴防尘口罩”“戴防噪耳塞”等警示标识及噪声等告知卡；在电解车间设置“注意通风”“当心中暑”“戴防毒口罩”“戴防护手套”“戴防护眼镜”等警示标识及氯化氢及盐酸、硫酸及三氧化硫等告知卡；在维修间设置“当心弧光”“注意通风”“噪声有害”“戴防尘口罩”“戴防护耳塞”等警示标识。</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11）其他建议</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（1）建议该公司按照《国卫办关于进一步加强用人单位职业健康培训工作的通知》（国卫办职健函〔2022〕441号）的要求，对接触职业病危害因素的作业人员进行培训。</w:t>
            </w:r>
          </w:p>
          <w:p>
            <w:pPr>
              <w:spacing w:line="340" w:lineRule="exact"/>
              <w:ind w:firstLine="420" w:firstLineChars="200"/>
              <w:jc w:val="both"/>
              <w:rPr>
                <w:rFonts w:hint="default" w:ascii="仿宋" w:hAnsi="仿宋" w:eastAsia="仿宋"/>
                <w:lang w:val="en-US" w:eastAsia="zh-CN"/>
              </w:rPr>
            </w:pPr>
            <w:r>
              <w:rPr>
                <w:rFonts w:hint="default" w:ascii="仿宋" w:hAnsi="仿宋" w:eastAsia="仿宋"/>
                <w:lang w:val="en-US" w:eastAsia="zh-CN"/>
              </w:rPr>
              <w:t>（2）建议该公司继续完善2020年度职业卫生现状评价所提建议</w:t>
            </w:r>
            <w:bookmarkStart w:id="0" w:name="_GoBack"/>
            <w:bookmarkEnd w:id="0"/>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2007A4"/>
    <w:multiLevelType w:val="singleLevel"/>
    <w:tmpl w:val="122007A4"/>
    <w:lvl w:ilvl="0" w:tentative="0">
      <w:start w:val="1"/>
      <w:numFmt w:val="bullet"/>
      <w:pStyle w:val="4"/>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E5MWQ2MDk4ZDU3OTQ0NGFmZTc1MDIyODUyMDQ1YWYifQ=="/>
  </w:docVars>
  <w:rsids>
    <w:rsidRoot w:val="002D5244"/>
    <w:rsid w:val="00051C70"/>
    <w:rsid w:val="000B168E"/>
    <w:rsid w:val="000D4C60"/>
    <w:rsid w:val="000F661D"/>
    <w:rsid w:val="00180ED4"/>
    <w:rsid w:val="002D2B6F"/>
    <w:rsid w:val="002D5244"/>
    <w:rsid w:val="0034231F"/>
    <w:rsid w:val="00355A35"/>
    <w:rsid w:val="003F0872"/>
    <w:rsid w:val="004B6752"/>
    <w:rsid w:val="004F70BB"/>
    <w:rsid w:val="00531B8B"/>
    <w:rsid w:val="005B6422"/>
    <w:rsid w:val="005C5F7A"/>
    <w:rsid w:val="00702B18"/>
    <w:rsid w:val="007F4BCD"/>
    <w:rsid w:val="00946DA3"/>
    <w:rsid w:val="00947E62"/>
    <w:rsid w:val="00996E59"/>
    <w:rsid w:val="009E2F87"/>
    <w:rsid w:val="00A01BF0"/>
    <w:rsid w:val="00B54B98"/>
    <w:rsid w:val="00D31C3C"/>
    <w:rsid w:val="00D86716"/>
    <w:rsid w:val="00DA711E"/>
    <w:rsid w:val="00DF0F69"/>
    <w:rsid w:val="00E04A58"/>
    <w:rsid w:val="00EB6037"/>
    <w:rsid w:val="00EC7B75"/>
    <w:rsid w:val="00FA4F11"/>
    <w:rsid w:val="01075579"/>
    <w:rsid w:val="01233096"/>
    <w:rsid w:val="012A0989"/>
    <w:rsid w:val="022C2C17"/>
    <w:rsid w:val="023D0B8F"/>
    <w:rsid w:val="03E91FCE"/>
    <w:rsid w:val="04363A1E"/>
    <w:rsid w:val="046F5658"/>
    <w:rsid w:val="04B472CB"/>
    <w:rsid w:val="05594203"/>
    <w:rsid w:val="05C84116"/>
    <w:rsid w:val="05E337FC"/>
    <w:rsid w:val="06971FBD"/>
    <w:rsid w:val="0745615D"/>
    <w:rsid w:val="085F7AA2"/>
    <w:rsid w:val="08744698"/>
    <w:rsid w:val="09214C02"/>
    <w:rsid w:val="093820FC"/>
    <w:rsid w:val="096D2D05"/>
    <w:rsid w:val="097A7FD3"/>
    <w:rsid w:val="0983368B"/>
    <w:rsid w:val="099C619C"/>
    <w:rsid w:val="0A0D4238"/>
    <w:rsid w:val="0A3D36E8"/>
    <w:rsid w:val="0A897216"/>
    <w:rsid w:val="0A98139A"/>
    <w:rsid w:val="0AF3628F"/>
    <w:rsid w:val="0B35399D"/>
    <w:rsid w:val="0B7D2159"/>
    <w:rsid w:val="0C943AA2"/>
    <w:rsid w:val="0CBC40CB"/>
    <w:rsid w:val="0D33381F"/>
    <w:rsid w:val="0D5D3E94"/>
    <w:rsid w:val="0DB241E0"/>
    <w:rsid w:val="0DFE5677"/>
    <w:rsid w:val="0E055229"/>
    <w:rsid w:val="0EDC135D"/>
    <w:rsid w:val="0F3533E3"/>
    <w:rsid w:val="0FA83A21"/>
    <w:rsid w:val="0FD04F1D"/>
    <w:rsid w:val="0FDA5C70"/>
    <w:rsid w:val="10046B9B"/>
    <w:rsid w:val="10F845FF"/>
    <w:rsid w:val="11174F6F"/>
    <w:rsid w:val="112C7A85"/>
    <w:rsid w:val="118E6431"/>
    <w:rsid w:val="11A37A34"/>
    <w:rsid w:val="11BA35F1"/>
    <w:rsid w:val="11D131E6"/>
    <w:rsid w:val="123C4CE7"/>
    <w:rsid w:val="12772793"/>
    <w:rsid w:val="128A091B"/>
    <w:rsid w:val="13050ECF"/>
    <w:rsid w:val="13B14F39"/>
    <w:rsid w:val="141D14AB"/>
    <w:rsid w:val="1476335E"/>
    <w:rsid w:val="1586775E"/>
    <w:rsid w:val="16655581"/>
    <w:rsid w:val="17932E87"/>
    <w:rsid w:val="17F673BF"/>
    <w:rsid w:val="184E1992"/>
    <w:rsid w:val="19810F0A"/>
    <w:rsid w:val="1A615541"/>
    <w:rsid w:val="1A8816B5"/>
    <w:rsid w:val="1AC4293F"/>
    <w:rsid w:val="1B3F462B"/>
    <w:rsid w:val="1B78307B"/>
    <w:rsid w:val="1C81326A"/>
    <w:rsid w:val="1CDA105D"/>
    <w:rsid w:val="1DFB046C"/>
    <w:rsid w:val="1E5D4AE2"/>
    <w:rsid w:val="1F026649"/>
    <w:rsid w:val="205630F0"/>
    <w:rsid w:val="22B71C55"/>
    <w:rsid w:val="22C32FEA"/>
    <w:rsid w:val="22DF27E2"/>
    <w:rsid w:val="22E60FE0"/>
    <w:rsid w:val="22ED255B"/>
    <w:rsid w:val="234D2E21"/>
    <w:rsid w:val="23B02B18"/>
    <w:rsid w:val="23B05D8F"/>
    <w:rsid w:val="24201B09"/>
    <w:rsid w:val="24212E47"/>
    <w:rsid w:val="24832815"/>
    <w:rsid w:val="24BF02CB"/>
    <w:rsid w:val="24F444EE"/>
    <w:rsid w:val="25662132"/>
    <w:rsid w:val="256F54C5"/>
    <w:rsid w:val="257E5312"/>
    <w:rsid w:val="26284A18"/>
    <w:rsid w:val="279F712B"/>
    <w:rsid w:val="28740979"/>
    <w:rsid w:val="2A413DAE"/>
    <w:rsid w:val="2A460333"/>
    <w:rsid w:val="2A566F28"/>
    <w:rsid w:val="2AB84DE6"/>
    <w:rsid w:val="2AF72B6B"/>
    <w:rsid w:val="2B810195"/>
    <w:rsid w:val="2BBB13C9"/>
    <w:rsid w:val="2BFA5B09"/>
    <w:rsid w:val="2C2C73FB"/>
    <w:rsid w:val="2C385DA0"/>
    <w:rsid w:val="2C3C39FF"/>
    <w:rsid w:val="2C6117C4"/>
    <w:rsid w:val="2D99053D"/>
    <w:rsid w:val="2DB674EC"/>
    <w:rsid w:val="2E9C5628"/>
    <w:rsid w:val="2EA72D69"/>
    <w:rsid w:val="2FC91E74"/>
    <w:rsid w:val="2FCC56C2"/>
    <w:rsid w:val="30446B3E"/>
    <w:rsid w:val="306A10C8"/>
    <w:rsid w:val="310446E2"/>
    <w:rsid w:val="31ED0CE4"/>
    <w:rsid w:val="32020A91"/>
    <w:rsid w:val="32034EF7"/>
    <w:rsid w:val="329F305B"/>
    <w:rsid w:val="32A80965"/>
    <w:rsid w:val="32EA744A"/>
    <w:rsid w:val="337324E5"/>
    <w:rsid w:val="34030A42"/>
    <w:rsid w:val="34B0573E"/>
    <w:rsid w:val="34C43209"/>
    <w:rsid w:val="34DD368C"/>
    <w:rsid w:val="35ED4532"/>
    <w:rsid w:val="36F55F5E"/>
    <w:rsid w:val="379A445F"/>
    <w:rsid w:val="37BC7E4B"/>
    <w:rsid w:val="384F06F9"/>
    <w:rsid w:val="38986280"/>
    <w:rsid w:val="38AE3672"/>
    <w:rsid w:val="38FC2442"/>
    <w:rsid w:val="392755EE"/>
    <w:rsid w:val="393C79FB"/>
    <w:rsid w:val="39863298"/>
    <w:rsid w:val="39CF0E62"/>
    <w:rsid w:val="39D13637"/>
    <w:rsid w:val="3A415082"/>
    <w:rsid w:val="3A69467A"/>
    <w:rsid w:val="3AF64E38"/>
    <w:rsid w:val="3C344673"/>
    <w:rsid w:val="3CDC1242"/>
    <w:rsid w:val="3D1E1295"/>
    <w:rsid w:val="3DB334D8"/>
    <w:rsid w:val="3DDD3902"/>
    <w:rsid w:val="3E7013C9"/>
    <w:rsid w:val="3E8C18E6"/>
    <w:rsid w:val="3E8D6156"/>
    <w:rsid w:val="3EA370A9"/>
    <w:rsid w:val="3EB43064"/>
    <w:rsid w:val="3F312ACB"/>
    <w:rsid w:val="3FAF61F9"/>
    <w:rsid w:val="3FC720B2"/>
    <w:rsid w:val="3FCD0C8D"/>
    <w:rsid w:val="40922C7C"/>
    <w:rsid w:val="40C764D4"/>
    <w:rsid w:val="41006A35"/>
    <w:rsid w:val="41013860"/>
    <w:rsid w:val="41EB02E9"/>
    <w:rsid w:val="42973632"/>
    <w:rsid w:val="43696829"/>
    <w:rsid w:val="43E7475E"/>
    <w:rsid w:val="444D05BE"/>
    <w:rsid w:val="444E3803"/>
    <w:rsid w:val="45B54C00"/>
    <w:rsid w:val="465670F7"/>
    <w:rsid w:val="46DE4CD7"/>
    <w:rsid w:val="471C20EE"/>
    <w:rsid w:val="47BC08E5"/>
    <w:rsid w:val="47FD3CCE"/>
    <w:rsid w:val="489919E1"/>
    <w:rsid w:val="48C44256"/>
    <w:rsid w:val="48C94013"/>
    <w:rsid w:val="49062CF8"/>
    <w:rsid w:val="493B6A03"/>
    <w:rsid w:val="49836818"/>
    <w:rsid w:val="49B13B80"/>
    <w:rsid w:val="49D10E80"/>
    <w:rsid w:val="4A407E68"/>
    <w:rsid w:val="4A425141"/>
    <w:rsid w:val="4A6D183E"/>
    <w:rsid w:val="4AC00FE3"/>
    <w:rsid w:val="4B43101F"/>
    <w:rsid w:val="4B831A2D"/>
    <w:rsid w:val="4B8C5A1B"/>
    <w:rsid w:val="4B9A779E"/>
    <w:rsid w:val="4BAA4805"/>
    <w:rsid w:val="4CA02851"/>
    <w:rsid w:val="4CD40000"/>
    <w:rsid w:val="4DB0066E"/>
    <w:rsid w:val="4DED16AB"/>
    <w:rsid w:val="4DF40F01"/>
    <w:rsid w:val="4E200D3B"/>
    <w:rsid w:val="4E347AA3"/>
    <w:rsid w:val="4E813ADD"/>
    <w:rsid w:val="4F5C68ED"/>
    <w:rsid w:val="4F8265E1"/>
    <w:rsid w:val="4FB855E9"/>
    <w:rsid w:val="4FF758B6"/>
    <w:rsid w:val="50D15247"/>
    <w:rsid w:val="512C2345"/>
    <w:rsid w:val="515A1D00"/>
    <w:rsid w:val="519C0207"/>
    <w:rsid w:val="51CE4DF0"/>
    <w:rsid w:val="52824423"/>
    <w:rsid w:val="53A60229"/>
    <w:rsid w:val="5429164F"/>
    <w:rsid w:val="54AC551B"/>
    <w:rsid w:val="55FA2FD9"/>
    <w:rsid w:val="58546E79"/>
    <w:rsid w:val="587649C4"/>
    <w:rsid w:val="58EB2640"/>
    <w:rsid w:val="591661C0"/>
    <w:rsid w:val="593340C0"/>
    <w:rsid w:val="593560BB"/>
    <w:rsid w:val="593E7CA2"/>
    <w:rsid w:val="59551042"/>
    <w:rsid w:val="599324EC"/>
    <w:rsid w:val="59B54DBC"/>
    <w:rsid w:val="59F310C3"/>
    <w:rsid w:val="5A7668FF"/>
    <w:rsid w:val="5AD91257"/>
    <w:rsid w:val="5AF34ABD"/>
    <w:rsid w:val="5B0B6673"/>
    <w:rsid w:val="5C4E31D9"/>
    <w:rsid w:val="5C9163EF"/>
    <w:rsid w:val="5D0358C3"/>
    <w:rsid w:val="5D655039"/>
    <w:rsid w:val="5DB73636"/>
    <w:rsid w:val="5E2E29DB"/>
    <w:rsid w:val="5FB33ED8"/>
    <w:rsid w:val="5FCF7F47"/>
    <w:rsid w:val="606326E4"/>
    <w:rsid w:val="60A35A27"/>
    <w:rsid w:val="60C74A21"/>
    <w:rsid w:val="60F4059A"/>
    <w:rsid w:val="619873BC"/>
    <w:rsid w:val="61ED2B7C"/>
    <w:rsid w:val="62202C06"/>
    <w:rsid w:val="62C73780"/>
    <w:rsid w:val="62D13DCC"/>
    <w:rsid w:val="62FD1B58"/>
    <w:rsid w:val="634D0270"/>
    <w:rsid w:val="63547A09"/>
    <w:rsid w:val="63D76110"/>
    <w:rsid w:val="63EF3ED8"/>
    <w:rsid w:val="644F0FB6"/>
    <w:rsid w:val="64E31BF6"/>
    <w:rsid w:val="6512485F"/>
    <w:rsid w:val="6524773E"/>
    <w:rsid w:val="65A645AF"/>
    <w:rsid w:val="65B00957"/>
    <w:rsid w:val="65C54843"/>
    <w:rsid w:val="65D57061"/>
    <w:rsid w:val="662612F7"/>
    <w:rsid w:val="66325962"/>
    <w:rsid w:val="66895ED6"/>
    <w:rsid w:val="668A68F6"/>
    <w:rsid w:val="67697C8C"/>
    <w:rsid w:val="686E3FED"/>
    <w:rsid w:val="68AB2361"/>
    <w:rsid w:val="68D643E7"/>
    <w:rsid w:val="69530817"/>
    <w:rsid w:val="69B04386"/>
    <w:rsid w:val="69E77EE2"/>
    <w:rsid w:val="6A497BD0"/>
    <w:rsid w:val="6BEF1DD1"/>
    <w:rsid w:val="6C8851EE"/>
    <w:rsid w:val="6E2470D7"/>
    <w:rsid w:val="6E524B44"/>
    <w:rsid w:val="6E9A3488"/>
    <w:rsid w:val="6F4A519B"/>
    <w:rsid w:val="6F653F09"/>
    <w:rsid w:val="70147557"/>
    <w:rsid w:val="701D3EBA"/>
    <w:rsid w:val="702C2AF3"/>
    <w:rsid w:val="708625A6"/>
    <w:rsid w:val="70D50035"/>
    <w:rsid w:val="70E91ACF"/>
    <w:rsid w:val="710C10F0"/>
    <w:rsid w:val="7124712B"/>
    <w:rsid w:val="713A7A58"/>
    <w:rsid w:val="7195798E"/>
    <w:rsid w:val="72177E12"/>
    <w:rsid w:val="721A7053"/>
    <w:rsid w:val="72F36989"/>
    <w:rsid w:val="73FC35FE"/>
    <w:rsid w:val="74DF0225"/>
    <w:rsid w:val="75046F0E"/>
    <w:rsid w:val="756C1E83"/>
    <w:rsid w:val="76D53613"/>
    <w:rsid w:val="76E0681B"/>
    <w:rsid w:val="77100BCB"/>
    <w:rsid w:val="77855BA7"/>
    <w:rsid w:val="7793772C"/>
    <w:rsid w:val="77EE2A2C"/>
    <w:rsid w:val="788E2A8E"/>
    <w:rsid w:val="78955B8C"/>
    <w:rsid w:val="78F56D1D"/>
    <w:rsid w:val="798C7E32"/>
    <w:rsid w:val="7B2B3FEA"/>
    <w:rsid w:val="7B3639AE"/>
    <w:rsid w:val="7BA21E8B"/>
    <w:rsid w:val="7BDF73D3"/>
    <w:rsid w:val="7BF56302"/>
    <w:rsid w:val="7D9940D6"/>
    <w:rsid w:val="7DE26BE4"/>
    <w:rsid w:val="7DE82510"/>
    <w:rsid w:val="7E786F03"/>
    <w:rsid w:val="7EE37ECA"/>
    <w:rsid w:val="7F0526E2"/>
    <w:rsid w:val="7F6663AD"/>
    <w:rsid w:val="7FA510E5"/>
    <w:rsid w:val="7FCE48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1"/>
    <w:autoRedefine/>
    <w:semiHidden/>
    <w:unhideWhenUsed/>
    <w:qFormat/>
    <w:uiPriority w:val="99"/>
    <w:pPr>
      <w:jc w:val="left"/>
    </w:pPr>
  </w:style>
  <w:style w:type="paragraph" w:styleId="3">
    <w:name w:val="Body Text"/>
    <w:basedOn w:val="1"/>
    <w:next w:val="4"/>
    <w:autoRedefine/>
    <w:qFormat/>
    <w:uiPriority w:val="0"/>
    <w:pPr>
      <w:spacing w:line="460" w:lineRule="exact"/>
    </w:pPr>
    <w:rPr>
      <w:rFonts w:ascii="仿宋_GB2312"/>
      <w:color w:val="000000"/>
      <w:spacing w:val="8"/>
      <w:szCs w:val="24"/>
    </w:rPr>
  </w:style>
  <w:style w:type="paragraph" w:styleId="4">
    <w:name w:val="List Bullet 5"/>
    <w:basedOn w:val="1"/>
    <w:autoRedefine/>
    <w:semiHidden/>
    <w:unhideWhenUsed/>
    <w:qFormat/>
    <w:uiPriority w:val="99"/>
    <w:pPr>
      <w:numPr>
        <w:ilvl w:val="0"/>
        <w:numId w:val="1"/>
      </w:numPr>
    </w:pPr>
  </w:style>
  <w:style w:type="paragraph" w:styleId="5">
    <w:name w:val="Body Text Indent"/>
    <w:basedOn w:val="1"/>
    <w:next w:val="1"/>
    <w:autoRedefine/>
    <w:semiHidden/>
    <w:unhideWhenUsed/>
    <w:qFormat/>
    <w:uiPriority w:val="99"/>
    <w:pPr>
      <w:spacing w:after="120" w:afterLines="0" w:afterAutospacing="0"/>
      <w:ind w:left="420" w:leftChars="200"/>
    </w:pPr>
  </w:style>
  <w:style w:type="paragraph" w:styleId="6">
    <w:name w:val="Balloon Text"/>
    <w:basedOn w:val="1"/>
    <w:link w:val="23"/>
    <w:autoRedefine/>
    <w:semiHidden/>
    <w:unhideWhenUsed/>
    <w:qFormat/>
    <w:uiPriority w:val="99"/>
    <w:rPr>
      <w:sz w:val="18"/>
      <w:szCs w:val="18"/>
    </w:rPr>
  </w:style>
  <w:style w:type="paragraph" w:styleId="7">
    <w:name w:val="footer"/>
    <w:basedOn w:val="1"/>
    <w:link w:val="17"/>
    <w:semiHidden/>
    <w:unhideWhenUsed/>
    <w:qFormat/>
    <w:uiPriority w:val="99"/>
    <w:pPr>
      <w:tabs>
        <w:tab w:val="center" w:pos="4153"/>
        <w:tab w:val="right" w:pos="8306"/>
      </w:tabs>
      <w:snapToGrid w:val="0"/>
      <w:jc w:val="left"/>
    </w:pPr>
    <w:rPr>
      <w:sz w:val="18"/>
      <w:szCs w:val="18"/>
    </w:rPr>
  </w:style>
  <w:style w:type="paragraph" w:styleId="8">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itle"/>
    <w:basedOn w:val="1"/>
    <w:next w:val="1"/>
    <w:autoRedefine/>
    <w:qFormat/>
    <w:uiPriority w:val="0"/>
    <w:pPr>
      <w:tabs>
        <w:tab w:val="left" w:pos="360"/>
        <w:tab w:val="left" w:pos="620"/>
      </w:tabs>
      <w:spacing w:before="240" w:after="60"/>
      <w:jc w:val="left"/>
      <w:outlineLvl w:val="0"/>
    </w:pPr>
    <w:rPr>
      <w:rFonts w:ascii="Arial" w:hAnsi="Arial" w:eastAsia="宋体"/>
      <w:b/>
      <w:sz w:val="32"/>
    </w:rPr>
  </w:style>
  <w:style w:type="paragraph" w:styleId="10">
    <w:name w:val="annotation subject"/>
    <w:basedOn w:val="2"/>
    <w:next w:val="2"/>
    <w:link w:val="22"/>
    <w:autoRedefine/>
    <w:semiHidden/>
    <w:unhideWhenUsed/>
    <w:qFormat/>
    <w:uiPriority w:val="99"/>
    <w:rPr>
      <w:b/>
      <w:bCs/>
    </w:rPr>
  </w:style>
  <w:style w:type="paragraph" w:styleId="11">
    <w:name w:val="Body Text First Indent"/>
    <w:basedOn w:val="3"/>
    <w:next w:val="1"/>
    <w:qFormat/>
    <w:uiPriority w:val="0"/>
    <w:pPr>
      <w:spacing w:after="120" w:line="240" w:lineRule="auto"/>
      <w:ind w:firstLine="420" w:firstLineChars="100"/>
    </w:pPr>
    <w:rPr>
      <w:rFonts w:ascii="Times New Roman" w:eastAsia="宋体"/>
      <w:color w:val="auto"/>
      <w:spacing w:val="0"/>
      <w:sz w:val="21"/>
      <w:lang w:val="en-US" w:eastAsia="zh-CN"/>
    </w:rPr>
  </w:style>
  <w:style w:type="paragraph" w:styleId="12">
    <w:name w:val="Body Text First Indent 2"/>
    <w:basedOn w:val="5"/>
    <w:next w:val="11"/>
    <w:autoRedefine/>
    <w:semiHidden/>
    <w:unhideWhenUsed/>
    <w:qFormat/>
    <w:uiPriority w:val="99"/>
    <w:pPr>
      <w:ind w:firstLine="420" w:firstLineChars="200"/>
    </w:p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8"/>
    <w:autoRedefine/>
    <w:semiHidden/>
    <w:qFormat/>
    <w:uiPriority w:val="99"/>
    <w:rPr>
      <w:sz w:val="18"/>
      <w:szCs w:val="18"/>
    </w:rPr>
  </w:style>
  <w:style w:type="character" w:customStyle="1" w:styleId="17">
    <w:name w:val="页脚 Char"/>
    <w:basedOn w:val="14"/>
    <w:link w:val="7"/>
    <w:semiHidden/>
    <w:qFormat/>
    <w:uiPriority w:val="99"/>
    <w:rPr>
      <w:sz w:val="18"/>
      <w:szCs w:val="18"/>
    </w:rPr>
  </w:style>
  <w:style w:type="character" w:customStyle="1" w:styleId="18">
    <w:name w:val="排版正文 Char Char"/>
    <w:link w:val="19"/>
    <w:autoRedefine/>
    <w:qFormat/>
    <w:locked/>
    <w:uiPriority w:val="0"/>
    <w:rPr>
      <w:rFonts w:ascii="仿宋_GB2312" w:hAnsi="Times New Roman" w:eastAsia="仿宋_GB2312"/>
      <w:spacing w:val="8"/>
      <w:sz w:val="28"/>
      <w:szCs w:val="21"/>
    </w:rPr>
  </w:style>
  <w:style w:type="paragraph" w:customStyle="1" w:styleId="19">
    <w:name w:val="排版正文"/>
    <w:link w:val="18"/>
    <w:autoRedefine/>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20">
    <w:name w:val="List Paragraph"/>
    <w:basedOn w:val="1"/>
    <w:autoRedefine/>
    <w:qFormat/>
    <w:uiPriority w:val="34"/>
    <w:pPr>
      <w:ind w:firstLine="420" w:firstLineChars="200"/>
    </w:pPr>
  </w:style>
  <w:style w:type="character" w:customStyle="1" w:styleId="21">
    <w:name w:val="批注文字 Char"/>
    <w:basedOn w:val="14"/>
    <w:link w:val="2"/>
    <w:autoRedefine/>
    <w:semiHidden/>
    <w:qFormat/>
    <w:uiPriority w:val="99"/>
  </w:style>
  <w:style w:type="character" w:customStyle="1" w:styleId="22">
    <w:name w:val="批注主题 Char"/>
    <w:basedOn w:val="21"/>
    <w:link w:val="10"/>
    <w:autoRedefine/>
    <w:semiHidden/>
    <w:qFormat/>
    <w:uiPriority w:val="99"/>
    <w:rPr>
      <w:b/>
      <w:bCs/>
    </w:rPr>
  </w:style>
  <w:style w:type="character" w:customStyle="1" w:styleId="23">
    <w:name w:val="批注框文本 Char"/>
    <w:basedOn w:val="14"/>
    <w:link w:val="6"/>
    <w:autoRedefine/>
    <w:semiHidden/>
    <w:qFormat/>
    <w:uiPriority w:val="99"/>
    <w:rPr>
      <w:sz w:val="18"/>
      <w:szCs w:val="18"/>
    </w:rPr>
  </w:style>
  <w:style w:type="paragraph" w:customStyle="1" w:styleId="24">
    <w:name w:val="正文 + 四号"/>
    <w:basedOn w:val="1"/>
    <w:autoRedefine/>
    <w:qFormat/>
    <w:uiPriority w:val="0"/>
    <w:pPr>
      <w:widowControl/>
      <w:spacing w:line="490" w:lineRule="exact"/>
      <w:ind w:firstLine="200" w:firstLineChars="200"/>
    </w:pPr>
    <w:rPr>
      <w:rFonts w:ascii="Times New Roman" w:hAnsi="Times New Roman" w:eastAsia="仿宋_GB2312" w:cs="Times New Roman"/>
      <w:color w:val="000000"/>
      <w:kern w:val="0"/>
      <w:sz w:val="28"/>
      <w:szCs w:val="21"/>
    </w:rPr>
  </w:style>
  <w:style w:type="character" w:customStyle="1" w:styleId="25">
    <w:name w:val="标题 2 Char"/>
    <w:qFormat/>
    <w:uiPriority w:val="0"/>
    <w:rPr>
      <w:rFonts w:ascii="宋体" w:hAnsi="宋体" w:eastAsia="宋体"/>
      <w:b/>
      <w:sz w:val="24"/>
      <w:szCs w:val="24"/>
      <w:lang w:val="en-US" w:eastAsia="zh-CN" w:bidi="ar-SA"/>
    </w:rPr>
  </w:style>
  <w:style w:type="paragraph" w:customStyle="1" w:styleId="26">
    <w:name w:val="段"/>
    <w:qFormat/>
    <w:uiPriority w:val="0"/>
    <w:pPr>
      <w:autoSpaceDE w:val="0"/>
      <w:autoSpaceDN w:val="0"/>
      <w:ind w:firstLine="200" w:firstLineChars="200"/>
      <w:jc w:val="both"/>
    </w:pPr>
    <w:rPr>
      <w:rFonts w:ascii="宋体" w:hAnsi="等线" w:eastAsia="等线" w:cs="Times New Roman"/>
      <w:kern w:val="2"/>
      <w:sz w:val="21"/>
      <w:szCs w:val="21"/>
      <w:lang w:val="en-US" w:eastAsia="zh-CN" w:bidi="ar-SA"/>
    </w:rPr>
  </w:style>
  <w:style w:type="paragraph" w:customStyle="1" w:styleId="27">
    <w:name w:val="正文字样"/>
    <w:basedOn w:val="9"/>
    <w:autoRedefine/>
    <w:qFormat/>
    <w:uiPriority w:val="0"/>
    <w:pPr>
      <w:spacing w:before="0" w:after="0" w:line="490" w:lineRule="exact"/>
      <w:ind w:firstLine="200" w:firstLineChars="200"/>
      <w:jc w:val="both"/>
      <w:outlineLvl w:val="9"/>
    </w:pPr>
    <w:rPr>
      <w:rFonts w:ascii="Times New Roman" w:hAnsi="Times New Roman" w:eastAsia="仿宋_GB2312"/>
      <w:b w:val="0"/>
      <w:bCs/>
      <w:color w:val="000000"/>
      <w:sz w:val="28"/>
      <w:szCs w:val="28"/>
    </w:rPr>
  </w:style>
  <w:style w:type="paragraph" w:customStyle="1" w:styleId="28">
    <w:name w:val="Default"/>
    <w:autoRedefine/>
    <w:qFormat/>
    <w:uiPriority w:val="0"/>
    <w:pPr>
      <w:widowControl w:val="0"/>
      <w:autoSpaceDE w:val="0"/>
      <w:autoSpaceDN w:val="0"/>
      <w:adjustRightInd w:val="0"/>
      <w:spacing w:line="490" w:lineRule="exact"/>
      <w:ind w:firstLine="422" w:firstLineChars="200"/>
    </w:pPr>
    <w:rPr>
      <w:rFonts w:ascii="Times New Roman" w:hAnsi="Times New Roman" w:eastAsia="仿宋_GB2312" w:cs="宋体"/>
      <w:color w:val="000000"/>
      <w:kern w:val="2"/>
      <w:sz w:val="28"/>
      <w:szCs w:val="24"/>
      <w:lang w:val="en-US" w:eastAsia="zh-CN" w:bidi="ar-SA"/>
    </w:rPr>
  </w:style>
  <w:style w:type="paragraph" w:customStyle="1" w:styleId="29">
    <w:name w:val="图表标题栏"/>
    <w:basedOn w:val="30"/>
    <w:qFormat/>
    <w:uiPriority w:val="0"/>
  </w:style>
  <w:style w:type="paragraph" w:customStyle="1" w:styleId="30">
    <w:name w:val="图表标题"/>
    <w:basedOn w:val="1"/>
    <w:autoRedefine/>
    <w:qFormat/>
    <w:uiPriority w:val="99"/>
    <w:pPr>
      <w:jc w:val="center"/>
    </w:pPr>
    <w:rPr>
      <w:rFonts w:ascii="Times New Roman" w:hAnsi="Times New Roman"/>
      <w:b/>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A8D332-0D06-4AF6-943B-D4197465BDE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927</Words>
  <Characters>982</Characters>
  <Lines>6</Lines>
  <Paragraphs>1</Paragraphs>
  <TotalTime>0</TotalTime>
  <ScaleCrop>false</ScaleCrop>
  <LinksUpToDate>false</LinksUpToDate>
  <CharactersWithSpaces>983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2020-04-20T09:11:00Z</dcterms:created>
  <dc:creator>微软用户</dc:creator>
  <cp:lastModifiedBy>1111</cp:lastModifiedBy>
  <dcterms:modified xsi:type="dcterms:W3CDTF">2024-02-27T01:33:04Z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115098DA71D148B88D029956B58E938E</vt:lpwstr>
  </property>
</Properties>
</file>