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13"/>
        <w:gridCol w:w="2551"/>
        <w:gridCol w:w="1276"/>
        <w:gridCol w:w="1609"/>
        <w:gridCol w:w="849"/>
        <w:gridCol w:w="899"/>
      </w:tblGrid>
      <w:tr w:rsidR="002D5244" w:rsidRPr="00947E62" w14:paraId="36F08CF3" w14:textId="77777777" w:rsidTr="00947E62">
        <w:trPr>
          <w:trHeight w:val="20"/>
          <w:jc w:val="center"/>
        </w:trPr>
        <w:tc>
          <w:tcPr>
            <w:tcW w:w="963" w:type="pct"/>
            <w:tcBorders>
              <w:top w:val="single" w:sz="4" w:space="0" w:color="auto"/>
              <w:bottom w:val="single" w:sz="4" w:space="0" w:color="auto"/>
              <w:right w:val="single" w:sz="4" w:space="0" w:color="auto"/>
            </w:tcBorders>
            <w:vAlign w:val="center"/>
          </w:tcPr>
          <w:p w14:paraId="5766B08B" w14:textId="77777777" w:rsidR="002D5244" w:rsidRPr="00947E62" w:rsidRDefault="00947E62" w:rsidP="00947E62">
            <w:pPr>
              <w:spacing w:line="340" w:lineRule="exact"/>
              <w:jc w:val="center"/>
              <w:rPr>
                <w:rFonts w:ascii="仿宋" w:eastAsia="仿宋" w:hAnsi="仿宋" w:cs="Times New Roman"/>
                <w:szCs w:val="21"/>
              </w:rPr>
            </w:pPr>
            <w:r>
              <w:rPr>
                <w:rFonts w:ascii="仿宋" w:eastAsia="仿宋" w:hAnsi="仿宋" w:cs="Times New Roman"/>
                <w:szCs w:val="21"/>
              </w:rPr>
              <w:t>建设单位</w:t>
            </w:r>
          </w:p>
        </w:tc>
        <w:tc>
          <w:tcPr>
            <w:tcW w:w="4037" w:type="pct"/>
            <w:gridSpan w:val="5"/>
            <w:tcBorders>
              <w:top w:val="single" w:sz="4" w:space="0" w:color="auto"/>
              <w:left w:val="single" w:sz="4" w:space="0" w:color="auto"/>
              <w:bottom w:val="single" w:sz="4" w:space="0" w:color="auto"/>
            </w:tcBorders>
            <w:vAlign w:val="center"/>
          </w:tcPr>
          <w:p w14:paraId="198FA66E" w14:textId="7B52B31B" w:rsidR="002D5244" w:rsidRPr="00947E62" w:rsidRDefault="006A6CCF" w:rsidP="00214AD5">
            <w:pPr>
              <w:spacing w:line="340" w:lineRule="exact"/>
              <w:jc w:val="center"/>
              <w:rPr>
                <w:rFonts w:ascii="仿宋" w:eastAsia="仿宋" w:hAnsi="仿宋" w:cs="Times New Roman"/>
                <w:szCs w:val="21"/>
              </w:rPr>
            </w:pPr>
            <w:r w:rsidRPr="006A6CCF">
              <w:rPr>
                <w:rFonts w:ascii="仿宋" w:eastAsia="仿宋" w:hAnsi="仿宋" w:cs="Times New Roman" w:hint="eastAsia"/>
                <w:szCs w:val="21"/>
              </w:rPr>
              <w:t>中山百盛生物技术有限公司</w:t>
            </w:r>
          </w:p>
        </w:tc>
      </w:tr>
      <w:tr w:rsidR="00947E62" w:rsidRPr="00947E62" w14:paraId="18E408C3" w14:textId="77777777" w:rsidTr="00947E62">
        <w:trPr>
          <w:trHeight w:val="20"/>
          <w:jc w:val="center"/>
        </w:trPr>
        <w:tc>
          <w:tcPr>
            <w:tcW w:w="963" w:type="pct"/>
            <w:tcBorders>
              <w:top w:val="single" w:sz="4" w:space="0" w:color="auto"/>
              <w:bottom w:val="single" w:sz="4" w:space="0" w:color="auto"/>
              <w:right w:val="single" w:sz="4" w:space="0" w:color="auto"/>
            </w:tcBorders>
            <w:vAlign w:val="center"/>
          </w:tcPr>
          <w:p w14:paraId="455C0897" w14:textId="77777777" w:rsidR="00947E62" w:rsidRPr="00947E62" w:rsidRDefault="00947E62" w:rsidP="00073B63">
            <w:pPr>
              <w:spacing w:line="340" w:lineRule="exact"/>
              <w:jc w:val="center"/>
              <w:rPr>
                <w:rFonts w:ascii="仿宋" w:eastAsia="仿宋" w:hAnsi="仿宋" w:cs="Times New Roman"/>
                <w:szCs w:val="21"/>
              </w:rPr>
            </w:pPr>
            <w:r w:rsidRPr="00947E62">
              <w:rPr>
                <w:rFonts w:ascii="仿宋" w:eastAsia="仿宋" w:hAnsi="仿宋" w:cs="Times New Roman"/>
                <w:szCs w:val="21"/>
              </w:rPr>
              <w:br w:type="page"/>
            </w:r>
            <w:r w:rsidRPr="00947E62">
              <w:rPr>
                <w:rFonts w:ascii="仿宋" w:eastAsia="仿宋" w:hAnsi="仿宋" w:cs="Times New Roman"/>
                <w:szCs w:val="21"/>
              </w:rPr>
              <w:br w:type="page"/>
            </w:r>
            <w:r w:rsidRPr="00947E62">
              <w:rPr>
                <w:rFonts w:ascii="仿宋" w:eastAsia="仿宋" w:hAnsi="仿宋" w:cs="Times New Roman"/>
                <w:szCs w:val="21"/>
              </w:rPr>
              <w:br w:type="page"/>
              <w:t>项目名称</w:t>
            </w:r>
          </w:p>
        </w:tc>
        <w:tc>
          <w:tcPr>
            <w:tcW w:w="4037" w:type="pct"/>
            <w:gridSpan w:val="5"/>
            <w:tcBorders>
              <w:top w:val="single" w:sz="4" w:space="0" w:color="auto"/>
              <w:left w:val="single" w:sz="4" w:space="0" w:color="auto"/>
              <w:bottom w:val="single" w:sz="4" w:space="0" w:color="auto"/>
            </w:tcBorders>
            <w:vAlign w:val="center"/>
          </w:tcPr>
          <w:p w14:paraId="76C2592D" w14:textId="396371AD" w:rsidR="00947E62" w:rsidRPr="00947E62" w:rsidRDefault="006A6CCF" w:rsidP="00214AD5">
            <w:pPr>
              <w:spacing w:line="340" w:lineRule="exact"/>
              <w:jc w:val="center"/>
              <w:rPr>
                <w:rFonts w:ascii="仿宋" w:eastAsia="仿宋" w:hAnsi="仿宋" w:cs="Times New Roman"/>
                <w:szCs w:val="21"/>
              </w:rPr>
            </w:pPr>
            <w:r w:rsidRPr="006A6CCF">
              <w:rPr>
                <w:rFonts w:ascii="仿宋" w:eastAsia="仿宋" w:hAnsi="仿宋" w:cs="Times New Roman" w:hint="eastAsia"/>
                <w:szCs w:val="21"/>
              </w:rPr>
              <w:t>中山百盛生物技术有限公司生物技术产品的研发及生产建设项目（一期工程）</w:t>
            </w:r>
          </w:p>
        </w:tc>
      </w:tr>
      <w:tr w:rsidR="00947E62" w:rsidRPr="00947E62" w14:paraId="4E781232" w14:textId="77777777" w:rsidTr="00947E62">
        <w:trPr>
          <w:trHeight w:val="20"/>
          <w:jc w:val="center"/>
        </w:trPr>
        <w:tc>
          <w:tcPr>
            <w:tcW w:w="963" w:type="pct"/>
            <w:tcBorders>
              <w:top w:val="single" w:sz="4" w:space="0" w:color="auto"/>
              <w:bottom w:val="single" w:sz="4" w:space="0" w:color="auto"/>
              <w:right w:val="single" w:sz="4" w:space="0" w:color="auto"/>
            </w:tcBorders>
            <w:vAlign w:val="center"/>
          </w:tcPr>
          <w:p w14:paraId="7F30EC97"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szCs w:val="21"/>
              </w:rPr>
              <w:t>项目地址</w:t>
            </w:r>
          </w:p>
        </w:tc>
        <w:tc>
          <w:tcPr>
            <w:tcW w:w="4037" w:type="pct"/>
            <w:gridSpan w:val="5"/>
            <w:tcBorders>
              <w:top w:val="single" w:sz="4" w:space="0" w:color="auto"/>
              <w:left w:val="single" w:sz="4" w:space="0" w:color="auto"/>
              <w:bottom w:val="single" w:sz="4" w:space="0" w:color="auto"/>
            </w:tcBorders>
            <w:vAlign w:val="center"/>
          </w:tcPr>
          <w:p w14:paraId="12F14F33" w14:textId="57D952A2" w:rsidR="00947E62" w:rsidRPr="00947E62" w:rsidRDefault="006A6CCF" w:rsidP="00214AD5">
            <w:pPr>
              <w:spacing w:line="340" w:lineRule="exact"/>
              <w:jc w:val="center"/>
              <w:rPr>
                <w:rFonts w:ascii="仿宋" w:eastAsia="仿宋" w:hAnsi="仿宋" w:cs="Times New Roman"/>
                <w:szCs w:val="21"/>
              </w:rPr>
            </w:pPr>
            <w:r w:rsidRPr="006A6CCF">
              <w:rPr>
                <w:rFonts w:ascii="仿宋" w:eastAsia="仿宋" w:hAnsi="仿宋" w:cs="Times New Roman" w:hint="eastAsia"/>
                <w:szCs w:val="21"/>
              </w:rPr>
              <w:t>中山市南朗街道华南现代中医药城于意路12号</w:t>
            </w:r>
          </w:p>
        </w:tc>
      </w:tr>
      <w:tr w:rsidR="00947E62" w:rsidRPr="00947E62" w14:paraId="018F4E2A" w14:textId="77777777" w:rsidTr="00947E62">
        <w:trPr>
          <w:trHeight w:val="20"/>
          <w:jc w:val="center"/>
        </w:trPr>
        <w:tc>
          <w:tcPr>
            <w:tcW w:w="963" w:type="pct"/>
            <w:tcBorders>
              <w:top w:val="single" w:sz="4" w:space="0" w:color="auto"/>
              <w:bottom w:val="single" w:sz="4" w:space="0" w:color="auto"/>
              <w:right w:val="single" w:sz="4" w:space="0" w:color="auto"/>
            </w:tcBorders>
            <w:vAlign w:val="center"/>
          </w:tcPr>
          <w:p w14:paraId="6F5EEA9E"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szCs w:val="21"/>
              </w:rPr>
              <w:t>项目性质</w:t>
            </w:r>
          </w:p>
        </w:tc>
        <w:tc>
          <w:tcPr>
            <w:tcW w:w="4037" w:type="pct"/>
            <w:gridSpan w:val="5"/>
            <w:tcBorders>
              <w:top w:val="single" w:sz="4" w:space="0" w:color="auto"/>
              <w:left w:val="single" w:sz="4" w:space="0" w:color="auto"/>
              <w:bottom w:val="single" w:sz="4" w:space="0" w:color="auto"/>
            </w:tcBorders>
            <w:vAlign w:val="center"/>
          </w:tcPr>
          <w:p w14:paraId="275BA32A" w14:textId="77777777" w:rsidR="00947E62" w:rsidRPr="00947E62" w:rsidRDefault="00947E62" w:rsidP="00214AD5">
            <w:pPr>
              <w:spacing w:line="340" w:lineRule="exact"/>
              <w:jc w:val="center"/>
              <w:rPr>
                <w:rFonts w:ascii="仿宋" w:eastAsia="仿宋" w:hAnsi="仿宋" w:cs="Times New Roman"/>
                <w:szCs w:val="21"/>
              </w:rPr>
            </w:pPr>
            <w:r w:rsidRPr="00947E62">
              <w:rPr>
                <w:rFonts w:ascii="仿宋" w:eastAsia="仿宋" w:hAnsi="仿宋" w:cs="Times New Roman" w:hint="eastAsia"/>
                <w:szCs w:val="21"/>
              </w:rPr>
              <w:t>现有企业</w:t>
            </w:r>
            <w:r w:rsidRPr="00947E62">
              <w:rPr>
                <w:rFonts w:ascii="仿宋" w:eastAsia="仿宋" w:hAnsi="仿宋" w:cs="Times New Roman"/>
                <w:szCs w:val="21"/>
              </w:rPr>
              <w:t>□</w:t>
            </w:r>
            <w:r w:rsidRPr="00947E62">
              <w:rPr>
                <w:rFonts w:ascii="仿宋" w:eastAsia="仿宋" w:hAnsi="仿宋" w:cs="Times New Roman" w:hint="eastAsia"/>
                <w:szCs w:val="21"/>
              </w:rPr>
              <w:t xml:space="preserve">  </w:t>
            </w:r>
            <w:r w:rsidRPr="00947E62">
              <w:rPr>
                <w:rFonts w:ascii="仿宋" w:eastAsia="仿宋" w:hAnsi="仿宋" w:cs="Times New Roman"/>
                <w:szCs w:val="21"/>
              </w:rPr>
              <w:t xml:space="preserve">新建■ </w:t>
            </w:r>
            <w:r w:rsidRPr="00947E62">
              <w:rPr>
                <w:rFonts w:ascii="仿宋" w:eastAsia="仿宋" w:hAnsi="仿宋" w:cs="Times New Roman" w:hint="eastAsia"/>
                <w:szCs w:val="21"/>
              </w:rPr>
              <w:t xml:space="preserve"> </w:t>
            </w:r>
            <w:r w:rsidRPr="00947E62">
              <w:rPr>
                <w:rFonts w:ascii="仿宋" w:eastAsia="仿宋" w:hAnsi="仿宋" w:cs="Times New Roman"/>
                <w:szCs w:val="21"/>
              </w:rPr>
              <w:t xml:space="preserve">改建□ </w:t>
            </w:r>
            <w:r w:rsidRPr="00947E62">
              <w:rPr>
                <w:rFonts w:ascii="仿宋" w:eastAsia="仿宋" w:hAnsi="仿宋" w:cs="Times New Roman" w:hint="eastAsia"/>
                <w:szCs w:val="21"/>
              </w:rPr>
              <w:t xml:space="preserve"> </w:t>
            </w:r>
            <w:r w:rsidRPr="00947E62">
              <w:rPr>
                <w:rFonts w:ascii="仿宋" w:eastAsia="仿宋" w:hAnsi="仿宋" w:cs="Times New Roman"/>
                <w:szCs w:val="21"/>
              </w:rPr>
              <w:t xml:space="preserve">扩建□ </w:t>
            </w:r>
            <w:r w:rsidRPr="00947E62">
              <w:rPr>
                <w:rFonts w:ascii="仿宋" w:eastAsia="仿宋" w:hAnsi="仿宋" w:cs="Times New Roman" w:hint="eastAsia"/>
                <w:szCs w:val="21"/>
              </w:rPr>
              <w:t xml:space="preserve"> </w:t>
            </w:r>
            <w:r w:rsidRPr="00947E62">
              <w:rPr>
                <w:rFonts w:ascii="仿宋" w:eastAsia="仿宋" w:hAnsi="仿宋" w:cs="Times New Roman"/>
                <w:szCs w:val="21"/>
              </w:rPr>
              <w:t>技术改造□</w:t>
            </w:r>
            <w:r w:rsidRPr="00947E62">
              <w:rPr>
                <w:rFonts w:ascii="仿宋" w:eastAsia="仿宋" w:hAnsi="仿宋" w:cs="Times New Roman" w:hint="eastAsia"/>
                <w:szCs w:val="21"/>
              </w:rPr>
              <w:t xml:space="preserve">  </w:t>
            </w:r>
            <w:r w:rsidRPr="00947E62">
              <w:rPr>
                <w:rFonts w:ascii="仿宋" w:eastAsia="仿宋" w:hAnsi="仿宋" w:cs="Times New Roman"/>
                <w:szCs w:val="21"/>
              </w:rPr>
              <w:t>技术引进□</w:t>
            </w:r>
          </w:p>
        </w:tc>
      </w:tr>
      <w:tr w:rsidR="00947E62" w:rsidRPr="00947E62" w14:paraId="0D1655FE" w14:textId="77777777" w:rsidTr="00947E62">
        <w:trPr>
          <w:trHeight w:val="20"/>
          <w:jc w:val="center"/>
        </w:trPr>
        <w:tc>
          <w:tcPr>
            <w:tcW w:w="963" w:type="pct"/>
            <w:tcBorders>
              <w:top w:val="single" w:sz="4" w:space="0" w:color="auto"/>
              <w:bottom w:val="single" w:sz="4" w:space="0" w:color="auto"/>
              <w:right w:val="single" w:sz="4" w:space="0" w:color="auto"/>
            </w:tcBorders>
            <w:vAlign w:val="center"/>
          </w:tcPr>
          <w:p w14:paraId="71B654CE" w14:textId="77777777" w:rsidR="00947E62" w:rsidRPr="00947E62" w:rsidRDefault="00947E62" w:rsidP="00A01BF0">
            <w:pPr>
              <w:spacing w:line="340" w:lineRule="exact"/>
              <w:jc w:val="center"/>
              <w:rPr>
                <w:rFonts w:ascii="仿宋" w:eastAsia="仿宋" w:hAnsi="仿宋" w:cs="Times New Roman"/>
                <w:szCs w:val="21"/>
              </w:rPr>
            </w:pPr>
            <w:r w:rsidRPr="00947E62">
              <w:rPr>
                <w:rFonts w:ascii="仿宋" w:eastAsia="仿宋" w:hAnsi="仿宋" w:cs="Times New Roman"/>
                <w:szCs w:val="21"/>
              </w:rPr>
              <w:t>项目</w:t>
            </w:r>
            <w:r w:rsidRPr="00947E62">
              <w:rPr>
                <w:rFonts w:ascii="仿宋" w:eastAsia="仿宋" w:hAnsi="仿宋" w:cs="Times New Roman" w:hint="eastAsia"/>
                <w:szCs w:val="21"/>
              </w:rPr>
              <w:t>联系人</w:t>
            </w:r>
          </w:p>
        </w:tc>
        <w:tc>
          <w:tcPr>
            <w:tcW w:w="4037" w:type="pct"/>
            <w:gridSpan w:val="5"/>
            <w:tcBorders>
              <w:top w:val="single" w:sz="4" w:space="0" w:color="auto"/>
              <w:left w:val="single" w:sz="4" w:space="0" w:color="auto"/>
              <w:bottom w:val="single" w:sz="4" w:space="0" w:color="auto"/>
            </w:tcBorders>
            <w:vAlign w:val="center"/>
          </w:tcPr>
          <w:p w14:paraId="7AE061D6" w14:textId="08A8A482" w:rsidR="00947E62" w:rsidRPr="00947E62" w:rsidRDefault="006A6CCF" w:rsidP="00214AD5">
            <w:pPr>
              <w:spacing w:line="340" w:lineRule="exact"/>
              <w:jc w:val="center"/>
              <w:rPr>
                <w:rFonts w:ascii="仿宋" w:eastAsia="仿宋" w:hAnsi="仿宋" w:cs="Times New Roman"/>
                <w:szCs w:val="21"/>
              </w:rPr>
            </w:pPr>
            <w:r>
              <w:rPr>
                <w:rFonts w:ascii="仿宋" w:eastAsia="仿宋" w:hAnsi="仿宋" w:cs="Times New Roman" w:hint="eastAsia"/>
                <w:szCs w:val="21"/>
              </w:rPr>
              <w:t>周工</w:t>
            </w:r>
          </w:p>
        </w:tc>
      </w:tr>
      <w:tr w:rsidR="00947E62" w:rsidRPr="00947E62" w14:paraId="42E98528" w14:textId="77777777" w:rsidTr="00947E62">
        <w:trPr>
          <w:trHeight w:val="20"/>
          <w:jc w:val="center"/>
        </w:trPr>
        <w:tc>
          <w:tcPr>
            <w:tcW w:w="963" w:type="pct"/>
            <w:tcBorders>
              <w:top w:val="single" w:sz="4" w:space="0" w:color="auto"/>
              <w:right w:val="single" w:sz="4" w:space="0" w:color="auto"/>
            </w:tcBorders>
            <w:vAlign w:val="center"/>
          </w:tcPr>
          <w:p w14:paraId="2CED9F81"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公示信息类别</w:t>
            </w:r>
          </w:p>
        </w:tc>
        <w:tc>
          <w:tcPr>
            <w:tcW w:w="4037" w:type="pct"/>
            <w:gridSpan w:val="5"/>
            <w:tcBorders>
              <w:top w:val="single" w:sz="4" w:space="0" w:color="auto"/>
              <w:left w:val="single" w:sz="4" w:space="0" w:color="auto"/>
              <w:bottom w:val="single" w:sz="4" w:space="0" w:color="auto"/>
            </w:tcBorders>
            <w:vAlign w:val="center"/>
          </w:tcPr>
          <w:p w14:paraId="330CF47A" w14:textId="77777777" w:rsidR="00947E62" w:rsidRPr="00947E62" w:rsidRDefault="00947E62" w:rsidP="00214AD5">
            <w:pPr>
              <w:spacing w:line="340" w:lineRule="exact"/>
              <w:jc w:val="center"/>
              <w:rPr>
                <w:rFonts w:ascii="仿宋" w:eastAsia="仿宋" w:hAnsi="仿宋" w:cs="Times New Roman"/>
                <w:szCs w:val="21"/>
              </w:rPr>
            </w:pPr>
            <w:r w:rsidRPr="00947E62">
              <w:rPr>
                <w:rFonts w:ascii="仿宋" w:eastAsia="仿宋" w:hAnsi="仿宋" w:cs="Times New Roman" w:hint="eastAsia"/>
                <w:szCs w:val="21"/>
              </w:rPr>
              <w:t>职业病危害预评价□   职业病防护设施设计□</w:t>
            </w:r>
          </w:p>
          <w:p w14:paraId="130BB348" w14:textId="77777777" w:rsidR="00947E62" w:rsidRPr="00947E62" w:rsidRDefault="00947E62" w:rsidP="00214AD5">
            <w:pPr>
              <w:spacing w:line="340" w:lineRule="exact"/>
              <w:jc w:val="center"/>
              <w:rPr>
                <w:rFonts w:ascii="仿宋" w:eastAsia="仿宋" w:hAnsi="仿宋" w:cs="Times New Roman"/>
                <w:szCs w:val="21"/>
              </w:rPr>
            </w:pPr>
            <w:r w:rsidRPr="00947E62">
              <w:rPr>
                <w:rFonts w:ascii="仿宋" w:eastAsia="仿宋" w:hAnsi="仿宋" w:cs="Times New Roman" w:hint="eastAsia"/>
                <w:szCs w:val="21"/>
              </w:rPr>
              <w:t>控制效果评价与职业病防护设施验收</w:t>
            </w:r>
            <w:r w:rsidRPr="00947E62">
              <w:rPr>
                <w:rFonts w:ascii="仿宋" w:eastAsia="仿宋" w:hAnsi="仿宋" w:cs="Times New Roman"/>
                <w:szCs w:val="21"/>
              </w:rPr>
              <w:t>■</w:t>
            </w:r>
            <w:r w:rsidRPr="00947E62">
              <w:rPr>
                <w:rFonts w:ascii="仿宋" w:eastAsia="仿宋" w:hAnsi="仿宋" w:cs="Times New Roman" w:hint="eastAsia"/>
                <w:szCs w:val="21"/>
              </w:rPr>
              <w:t xml:space="preserve">   职业病危害现状评价□</w:t>
            </w:r>
          </w:p>
        </w:tc>
      </w:tr>
      <w:tr w:rsidR="00947E62" w:rsidRPr="00947E62" w14:paraId="14F79430" w14:textId="77777777" w:rsidTr="00947E62">
        <w:trPr>
          <w:trHeight w:val="20"/>
          <w:jc w:val="center"/>
        </w:trPr>
        <w:tc>
          <w:tcPr>
            <w:tcW w:w="963" w:type="pct"/>
            <w:tcBorders>
              <w:top w:val="single" w:sz="4" w:space="0" w:color="auto"/>
              <w:right w:val="single" w:sz="4" w:space="0" w:color="auto"/>
            </w:tcBorders>
            <w:vAlign w:val="center"/>
          </w:tcPr>
          <w:p w14:paraId="13A62B9F"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项目简介</w:t>
            </w:r>
          </w:p>
        </w:tc>
        <w:tc>
          <w:tcPr>
            <w:tcW w:w="4037" w:type="pct"/>
            <w:gridSpan w:val="5"/>
            <w:tcBorders>
              <w:top w:val="single" w:sz="4" w:space="0" w:color="auto"/>
              <w:left w:val="single" w:sz="4" w:space="0" w:color="auto"/>
              <w:bottom w:val="single" w:sz="4" w:space="0" w:color="auto"/>
            </w:tcBorders>
            <w:vAlign w:val="center"/>
          </w:tcPr>
          <w:p w14:paraId="49108C15" w14:textId="77777777" w:rsidR="006A6CCF" w:rsidRPr="006A6CCF" w:rsidRDefault="006A6CCF" w:rsidP="006A6CCF">
            <w:pPr>
              <w:spacing w:line="240" w:lineRule="exact"/>
              <w:ind w:firstLineChars="200" w:firstLine="420"/>
              <w:jc w:val="left"/>
              <w:rPr>
                <w:rFonts w:ascii="仿宋" w:eastAsia="仿宋" w:hAnsi="仿宋" w:cs="Times New Roman" w:hint="eastAsia"/>
                <w:szCs w:val="21"/>
              </w:rPr>
            </w:pPr>
            <w:r w:rsidRPr="00C241C0">
              <w:rPr>
                <w:rFonts w:hint="eastAsia"/>
              </w:rPr>
              <w:t>中山百盛生物技术有限公司（简称“该公司”）成立于</w:t>
            </w:r>
            <w:r w:rsidRPr="00C241C0">
              <w:rPr>
                <w:rFonts w:hint="eastAsia"/>
              </w:rPr>
              <w:t>2016</w:t>
            </w:r>
            <w:r w:rsidRPr="00C241C0">
              <w:rPr>
                <w:rFonts w:hint="eastAsia"/>
              </w:rPr>
              <w:t>年</w:t>
            </w:r>
            <w:r w:rsidRPr="00C241C0">
              <w:rPr>
                <w:rFonts w:hint="eastAsia"/>
              </w:rPr>
              <w:t>11</w:t>
            </w:r>
            <w:r w:rsidRPr="00C241C0">
              <w:rPr>
                <w:rFonts w:hint="eastAsia"/>
              </w:rPr>
              <w:t>月</w:t>
            </w:r>
            <w:r w:rsidRPr="00C241C0">
              <w:rPr>
                <w:rFonts w:hint="eastAsia"/>
              </w:rPr>
              <w:t>22</w:t>
            </w:r>
            <w:r w:rsidRPr="00C241C0">
              <w:rPr>
                <w:rFonts w:hint="eastAsia"/>
              </w:rPr>
              <w:t>日，住所为中山市南朗街道华南现代中医药城于意路</w:t>
            </w:r>
            <w:r w:rsidRPr="00C241C0">
              <w:rPr>
                <w:rFonts w:hint="eastAsia"/>
              </w:rPr>
              <w:t>1</w:t>
            </w:r>
            <w:r w:rsidRPr="00C241C0">
              <w:t>2</w:t>
            </w:r>
            <w:r w:rsidRPr="00C241C0">
              <w:rPr>
                <w:rFonts w:hint="eastAsia"/>
              </w:rPr>
              <w:t>号</w:t>
            </w:r>
            <w:r w:rsidR="003E71C9" w:rsidRPr="003E71C9">
              <w:rPr>
                <w:rFonts w:ascii="仿宋" w:eastAsia="仿宋" w:hAnsi="仿宋" w:cs="Times New Roman"/>
                <w:szCs w:val="21"/>
              </w:rPr>
              <w:t>。</w:t>
            </w:r>
            <w:r w:rsidRPr="006A6CCF">
              <w:rPr>
                <w:rFonts w:ascii="仿宋" w:eastAsia="仿宋" w:hAnsi="仿宋" w:cs="Times New Roman" w:hint="eastAsia"/>
                <w:szCs w:val="21"/>
              </w:rPr>
              <w:t>中山百盛生物技术有限公司生物技术产品的研发及生产建设项目于2018年01月30日取得了《广东省企业投资项目备案证》（项目代码2018-442000-27-03-801236），2020年6月23日进行了备案证更新，投资项目备案证见附件，项目总投资60000万元，资本金为12000万元；其中土建投资11000万元，设备及技术投资17000万元。本工程为分三期工程建设项目，一期工程已建设完成并进入试生产阶段，本次评价范围为中山百盛生物技术有限公司生物技术产品的研发及生产建设项目（一期工程）（以下简称“该项目”）。一期工程总投资约40000万人民币。</w:t>
            </w:r>
          </w:p>
          <w:p w14:paraId="68E42F4D" w14:textId="1ADAE1B1" w:rsidR="00947E62" w:rsidRPr="006A6CCF" w:rsidRDefault="006A6CCF" w:rsidP="006A6CCF">
            <w:pPr>
              <w:spacing w:line="240" w:lineRule="exact"/>
              <w:ind w:firstLineChars="200" w:firstLine="420"/>
              <w:jc w:val="left"/>
              <w:rPr>
                <w:rFonts w:ascii="仿宋" w:eastAsia="仿宋" w:hAnsi="仿宋" w:cs="Times New Roman"/>
                <w:szCs w:val="21"/>
              </w:rPr>
            </w:pPr>
            <w:r w:rsidRPr="006A6CCF">
              <w:rPr>
                <w:rFonts w:ascii="仿宋" w:eastAsia="仿宋" w:hAnsi="仿宋" w:cs="Times New Roman" w:hint="eastAsia"/>
                <w:szCs w:val="21"/>
              </w:rPr>
              <w:t>一期工程建设规模及内容：1栋综合楼8483m2，1栋宿舍楼6784 m2，仓库一5040.06 m2，仓库二2168.86 m2，仓库三300 m2，厂房一8057.56m2（其中厂房一分为101车间和102车间,102车间建设中不在本次验收范围内），变配电房115.34m2，高压开关房42.66m2、消防监控中心兼门卫室65.49m2，消防水池529.53m2，动力中心226.82m2，污水处理站995.89m2，埋地储罐区及事故应急池、初期雨水池、发电机房、消防水泵房、电信设备间、排烟机房等辅助设施。</w:t>
            </w:r>
          </w:p>
        </w:tc>
      </w:tr>
      <w:tr w:rsidR="00947E62" w:rsidRPr="00947E62" w14:paraId="1E88BDB2" w14:textId="77777777" w:rsidTr="00947E62">
        <w:trPr>
          <w:trHeight w:val="20"/>
          <w:jc w:val="center"/>
        </w:trPr>
        <w:tc>
          <w:tcPr>
            <w:tcW w:w="963" w:type="pct"/>
            <w:tcBorders>
              <w:top w:val="single" w:sz="4" w:space="0" w:color="auto"/>
              <w:right w:val="single" w:sz="4" w:space="0" w:color="auto"/>
            </w:tcBorders>
            <w:vAlign w:val="center"/>
          </w:tcPr>
          <w:p w14:paraId="78FCA889"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现场调查人员</w:t>
            </w:r>
          </w:p>
        </w:tc>
        <w:tc>
          <w:tcPr>
            <w:tcW w:w="1434" w:type="pct"/>
            <w:tcBorders>
              <w:top w:val="single" w:sz="4" w:space="0" w:color="auto"/>
              <w:left w:val="single" w:sz="4" w:space="0" w:color="auto"/>
              <w:bottom w:val="single" w:sz="4" w:space="0" w:color="auto"/>
            </w:tcBorders>
            <w:vAlign w:val="center"/>
          </w:tcPr>
          <w:p w14:paraId="0FDA8B54" w14:textId="7C6C9860" w:rsidR="00947E62" w:rsidRPr="00947E62" w:rsidRDefault="00214AD5" w:rsidP="002D5244">
            <w:pPr>
              <w:spacing w:line="340" w:lineRule="exact"/>
              <w:jc w:val="center"/>
              <w:rPr>
                <w:rFonts w:ascii="仿宋" w:eastAsia="仿宋" w:hAnsi="仿宋" w:cs="Times New Roman"/>
                <w:szCs w:val="21"/>
              </w:rPr>
            </w:pPr>
            <w:r>
              <w:rPr>
                <w:rFonts w:ascii="仿宋" w:eastAsia="仿宋" w:hAnsi="仿宋" w:cs="Times New Roman" w:hint="eastAsia"/>
                <w:szCs w:val="21"/>
              </w:rPr>
              <w:t>韩效栋、</w:t>
            </w:r>
            <w:r w:rsidR="006A6CCF">
              <w:rPr>
                <w:rFonts w:ascii="仿宋" w:eastAsia="仿宋" w:hAnsi="仿宋" w:cs="Times New Roman" w:hint="eastAsia"/>
                <w:szCs w:val="21"/>
              </w:rPr>
              <w:t>何芬、丁伦</w:t>
            </w:r>
          </w:p>
        </w:tc>
        <w:tc>
          <w:tcPr>
            <w:tcW w:w="717" w:type="pct"/>
            <w:tcBorders>
              <w:top w:val="single" w:sz="4" w:space="0" w:color="auto"/>
              <w:left w:val="single" w:sz="4" w:space="0" w:color="auto"/>
              <w:bottom w:val="single" w:sz="4" w:space="0" w:color="auto"/>
            </w:tcBorders>
            <w:vAlign w:val="center"/>
          </w:tcPr>
          <w:p w14:paraId="4E1FDD39"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调查时间</w:t>
            </w:r>
          </w:p>
        </w:tc>
        <w:tc>
          <w:tcPr>
            <w:tcW w:w="904" w:type="pct"/>
            <w:tcBorders>
              <w:top w:val="single" w:sz="4" w:space="0" w:color="auto"/>
              <w:left w:val="single" w:sz="4" w:space="0" w:color="auto"/>
              <w:bottom w:val="single" w:sz="4" w:space="0" w:color="auto"/>
            </w:tcBorders>
            <w:vAlign w:val="center"/>
          </w:tcPr>
          <w:p w14:paraId="3776A707" w14:textId="671B5226" w:rsidR="00947E62" w:rsidRPr="00947E62" w:rsidRDefault="00947E62" w:rsidP="003E71C9">
            <w:pPr>
              <w:spacing w:line="340" w:lineRule="exact"/>
              <w:jc w:val="center"/>
              <w:rPr>
                <w:rFonts w:ascii="仿宋" w:eastAsia="仿宋" w:hAnsi="仿宋" w:cs="Times New Roman"/>
                <w:szCs w:val="21"/>
              </w:rPr>
            </w:pPr>
            <w:r w:rsidRPr="00947E62">
              <w:rPr>
                <w:rFonts w:ascii="仿宋" w:eastAsia="仿宋" w:hAnsi="仿宋" w:cs="Times New Roman" w:hint="eastAsia"/>
                <w:szCs w:val="21"/>
              </w:rPr>
              <w:t>20</w:t>
            </w:r>
            <w:r w:rsidR="006A6CCF">
              <w:rPr>
                <w:rFonts w:ascii="仿宋" w:eastAsia="仿宋" w:hAnsi="仿宋" w:cs="Times New Roman"/>
                <w:szCs w:val="21"/>
              </w:rPr>
              <w:t>23</w:t>
            </w:r>
            <w:r w:rsidR="00214AD5">
              <w:rPr>
                <w:rFonts w:ascii="仿宋" w:eastAsia="仿宋" w:hAnsi="仿宋" w:cs="Times New Roman" w:hint="eastAsia"/>
                <w:szCs w:val="21"/>
              </w:rPr>
              <w:t>.</w:t>
            </w:r>
            <w:r w:rsidR="006A6CCF">
              <w:rPr>
                <w:rFonts w:ascii="仿宋" w:eastAsia="仿宋" w:hAnsi="仿宋" w:cs="Times New Roman"/>
                <w:szCs w:val="21"/>
              </w:rPr>
              <w:t>5</w:t>
            </w:r>
            <w:r w:rsidRPr="00947E62">
              <w:rPr>
                <w:rFonts w:ascii="仿宋" w:eastAsia="仿宋" w:hAnsi="仿宋" w:cs="Times New Roman" w:hint="eastAsia"/>
                <w:szCs w:val="21"/>
              </w:rPr>
              <w:t>.1</w:t>
            </w:r>
            <w:r w:rsidR="003E71C9">
              <w:rPr>
                <w:rFonts w:ascii="仿宋" w:eastAsia="仿宋" w:hAnsi="仿宋" w:cs="Times New Roman" w:hint="eastAsia"/>
                <w:szCs w:val="21"/>
              </w:rPr>
              <w:t>0</w:t>
            </w:r>
          </w:p>
        </w:tc>
        <w:tc>
          <w:tcPr>
            <w:tcW w:w="477" w:type="pct"/>
            <w:tcBorders>
              <w:top w:val="single" w:sz="4" w:space="0" w:color="auto"/>
              <w:left w:val="single" w:sz="4" w:space="0" w:color="auto"/>
              <w:bottom w:val="single" w:sz="4" w:space="0" w:color="auto"/>
            </w:tcBorders>
            <w:vAlign w:val="center"/>
          </w:tcPr>
          <w:p w14:paraId="5DF290C8"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陪同人</w:t>
            </w:r>
          </w:p>
        </w:tc>
        <w:tc>
          <w:tcPr>
            <w:tcW w:w="505" w:type="pct"/>
            <w:tcBorders>
              <w:top w:val="single" w:sz="4" w:space="0" w:color="auto"/>
              <w:left w:val="single" w:sz="4" w:space="0" w:color="auto"/>
              <w:bottom w:val="single" w:sz="4" w:space="0" w:color="auto"/>
            </w:tcBorders>
            <w:vAlign w:val="center"/>
          </w:tcPr>
          <w:p w14:paraId="3DA92F4F" w14:textId="01B1F366" w:rsidR="00947E62" w:rsidRPr="00947E62" w:rsidRDefault="006A6CCF" w:rsidP="002D5244">
            <w:pPr>
              <w:spacing w:line="340" w:lineRule="exact"/>
              <w:jc w:val="center"/>
              <w:rPr>
                <w:rFonts w:ascii="仿宋" w:eastAsia="仿宋" w:hAnsi="仿宋" w:cs="Times New Roman"/>
                <w:szCs w:val="21"/>
              </w:rPr>
            </w:pPr>
            <w:r>
              <w:rPr>
                <w:rFonts w:ascii="仿宋" w:eastAsia="仿宋" w:hAnsi="仿宋" w:cs="Times New Roman" w:hint="eastAsia"/>
                <w:szCs w:val="21"/>
              </w:rPr>
              <w:t>周</w:t>
            </w:r>
            <w:r w:rsidR="003E71C9">
              <w:rPr>
                <w:rFonts w:ascii="仿宋" w:eastAsia="仿宋" w:hAnsi="仿宋" w:cs="Times New Roman" w:hint="eastAsia"/>
                <w:szCs w:val="21"/>
              </w:rPr>
              <w:t>工</w:t>
            </w:r>
          </w:p>
        </w:tc>
      </w:tr>
      <w:tr w:rsidR="00947E62" w:rsidRPr="00947E62" w14:paraId="1659F519" w14:textId="77777777" w:rsidTr="00947E62">
        <w:trPr>
          <w:trHeight w:val="20"/>
          <w:jc w:val="center"/>
        </w:trPr>
        <w:tc>
          <w:tcPr>
            <w:tcW w:w="963" w:type="pct"/>
            <w:tcBorders>
              <w:top w:val="single" w:sz="4" w:space="0" w:color="auto"/>
              <w:right w:val="single" w:sz="4" w:space="0" w:color="auto"/>
            </w:tcBorders>
            <w:vAlign w:val="center"/>
          </w:tcPr>
          <w:p w14:paraId="7EE220E3" w14:textId="77777777" w:rsidR="00947E62" w:rsidRPr="00947E62" w:rsidRDefault="00947E62" w:rsidP="00214AD5">
            <w:pPr>
              <w:spacing w:line="320" w:lineRule="exact"/>
              <w:ind w:firstLineChars="200" w:firstLine="420"/>
              <w:jc w:val="left"/>
              <w:rPr>
                <w:rFonts w:ascii="仿宋" w:eastAsia="仿宋" w:hAnsi="仿宋" w:cs="Times New Roman"/>
                <w:szCs w:val="21"/>
              </w:rPr>
            </w:pPr>
            <w:r w:rsidRPr="00947E62">
              <w:rPr>
                <w:rFonts w:ascii="仿宋" w:eastAsia="仿宋" w:hAnsi="仿宋" w:cs="Times New Roman" w:hint="eastAsia"/>
                <w:szCs w:val="21"/>
              </w:rPr>
              <w:t>检测人员</w:t>
            </w:r>
          </w:p>
        </w:tc>
        <w:tc>
          <w:tcPr>
            <w:tcW w:w="1434" w:type="pct"/>
            <w:tcBorders>
              <w:top w:val="single" w:sz="4" w:space="0" w:color="auto"/>
              <w:left w:val="single" w:sz="4" w:space="0" w:color="auto"/>
              <w:bottom w:val="single" w:sz="4" w:space="0" w:color="auto"/>
            </w:tcBorders>
            <w:vAlign w:val="center"/>
          </w:tcPr>
          <w:p w14:paraId="4414B2C1" w14:textId="690B3388" w:rsidR="00947E62" w:rsidRPr="00947E62" w:rsidRDefault="006A6CCF" w:rsidP="003E71C9">
            <w:pPr>
              <w:spacing w:line="340" w:lineRule="exact"/>
              <w:jc w:val="center"/>
              <w:rPr>
                <w:rFonts w:ascii="仿宋" w:eastAsia="仿宋" w:hAnsi="仿宋" w:cs="Times New Roman"/>
                <w:szCs w:val="21"/>
              </w:rPr>
            </w:pPr>
            <w:r>
              <w:rPr>
                <w:rFonts w:ascii="仿宋" w:eastAsia="仿宋" w:hAnsi="仿宋" w:cs="Times New Roman" w:hint="eastAsia"/>
                <w:szCs w:val="21"/>
              </w:rPr>
              <w:t>王一波、赵文朋</w:t>
            </w:r>
          </w:p>
        </w:tc>
        <w:tc>
          <w:tcPr>
            <w:tcW w:w="717" w:type="pct"/>
            <w:tcBorders>
              <w:top w:val="single" w:sz="4" w:space="0" w:color="auto"/>
              <w:left w:val="single" w:sz="4" w:space="0" w:color="auto"/>
              <w:bottom w:val="single" w:sz="4" w:space="0" w:color="auto"/>
            </w:tcBorders>
            <w:vAlign w:val="center"/>
          </w:tcPr>
          <w:p w14:paraId="691A6D8D"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检测时间</w:t>
            </w:r>
          </w:p>
        </w:tc>
        <w:tc>
          <w:tcPr>
            <w:tcW w:w="904" w:type="pct"/>
            <w:tcBorders>
              <w:top w:val="single" w:sz="4" w:space="0" w:color="auto"/>
              <w:left w:val="single" w:sz="4" w:space="0" w:color="auto"/>
              <w:bottom w:val="single" w:sz="4" w:space="0" w:color="auto"/>
            </w:tcBorders>
            <w:vAlign w:val="center"/>
          </w:tcPr>
          <w:p w14:paraId="35E9B974" w14:textId="268838E1" w:rsidR="00947E62" w:rsidRPr="00947E62" w:rsidRDefault="006A6CCF" w:rsidP="003E71C9">
            <w:pPr>
              <w:spacing w:line="340" w:lineRule="exact"/>
              <w:jc w:val="center"/>
              <w:rPr>
                <w:rFonts w:ascii="仿宋" w:eastAsia="仿宋" w:hAnsi="仿宋" w:cs="Times New Roman"/>
                <w:szCs w:val="21"/>
              </w:rPr>
            </w:pPr>
            <w:r>
              <w:rPr>
                <w:rFonts w:eastAsia="宋体" w:hint="eastAsia"/>
                <w:color w:val="000000"/>
                <w:kern w:val="0"/>
              </w:rPr>
              <w:t>20</w:t>
            </w:r>
            <w:r>
              <w:rPr>
                <w:rFonts w:eastAsia="宋体"/>
                <w:color w:val="000000"/>
                <w:kern w:val="0"/>
              </w:rPr>
              <w:t>23</w:t>
            </w:r>
            <w:r>
              <w:rPr>
                <w:rFonts w:eastAsia="宋体" w:hint="eastAsia"/>
                <w:color w:val="000000"/>
                <w:kern w:val="0"/>
              </w:rPr>
              <w:t>.</w:t>
            </w:r>
            <w:r>
              <w:rPr>
                <w:rFonts w:eastAsia="宋体"/>
                <w:color w:val="000000"/>
                <w:kern w:val="0"/>
              </w:rPr>
              <w:t>5</w:t>
            </w:r>
            <w:r>
              <w:rPr>
                <w:rFonts w:eastAsia="宋体" w:hint="eastAsia"/>
                <w:color w:val="000000"/>
                <w:kern w:val="0"/>
              </w:rPr>
              <w:t>.</w:t>
            </w:r>
            <w:r>
              <w:rPr>
                <w:rFonts w:eastAsia="宋体"/>
                <w:color w:val="000000"/>
                <w:kern w:val="0"/>
              </w:rPr>
              <w:t>24</w:t>
            </w:r>
            <w:r>
              <w:rPr>
                <w:rFonts w:eastAsia="宋体" w:hint="eastAsia"/>
                <w:color w:val="000000"/>
                <w:kern w:val="0"/>
              </w:rPr>
              <w:t>~2</w:t>
            </w:r>
            <w:r>
              <w:rPr>
                <w:rFonts w:eastAsia="宋体"/>
                <w:color w:val="000000"/>
                <w:kern w:val="0"/>
              </w:rPr>
              <w:t>6</w:t>
            </w:r>
          </w:p>
        </w:tc>
        <w:tc>
          <w:tcPr>
            <w:tcW w:w="477" w:type="pct"/>
            <w:tcBorders>
              <w:top w:val="single" w:sz="4" w:space="0" w:color="auto"/>
              <w:left w:val="single" w:sz="4" w:space="0" w:color="auto"/>
              <w:bottom w:val="single" w:sz="4" w:space="0" w:color="auto"/>
            </w:tcBorders>
            <w:vAlign w:val="center"/>
          </w:tcPr>
          <w:p w14:paraId="627C5AF3" w14:textId="77777777" w:rsidR="00947E62" w:rsidRPr="00947E62" w:rsidRDefault="00947E62" w:rsidP="002D5244">
            <w:pPr>
              <w:spacing w:line="340" w:lineRule="exact"/>
              <w:jc w:val="center"/>
              <w:rPr>
                <w:rFonts w:ascii="仿宋" w:eastAsia="仿宋" w:hAnsi="仿宋" w:cs="Times New Roman"/>
                <w:szCs w:val="21"/>
              </w:rPr>
            </w:pPr>
            <w:r w:rsidRPr="00947E62">
              <w:rPr>
                <w:rFonts w:ascii="仿宋" w:eastAsia="仿宋" w:hAnsi="仿宋" w:cs="Times New Roman" w:hint="eastAsia"/>
                <w:szCs w:val="21"/>
              </w:rPr>
              <w:t>陪同人</w:t>
            </w:r>
          </w:p>
        </w:tc>
        <w:tc>
          <w:tcPr>
            <w:tcW w:w="505" w:type="pct"/>
            <w:tcBorders>
              <w:top w:val="single" w:sz="4" w:space="0" w:color="auto"/>
              <w:left w:val="single" w:sz="4" w:space="0" w:color="auto"/>
              <w:bottom w:val="single" w:sz="4" w:space="0" w:color="auto"/>
            </w:tcBorders>
            <w:vAlign w:val="center"/>
          </w:tcPr>
          <w:p w14:paraId="57BA04E0" w14:textId="119B3A55" w:rsidR="00947E62" w:rsidRPr="00947E62" w:rsidRDefault="006A6CCF" w:rsidP="002D5244">
            <w:pPr>
              <w:spacing w:line="340" w:lineRule="exact"/>
              <w:jc w:val="center"/>
              <w:rPr>
                <w:rFonts w:ascii="仿宋" w:eastAsia="仿宋" w:hAnsi="仿宋" w:cs="Times New Roman"/>
                <w:szCs w:val="21"/>
              </w:rPr>
            </w:pPr>
            <w:r>
              <w:rPr>
                <w:rFonts w:ascii="仿宋" w:eastAsia="仿宋" w:hAnsi="仿宋" w:cs="Times New Roman" w:hint="eastAsia"/>
                <w:szCs w:val="21"/>
              </w:rPr>
              <w:t>周工</w:t>
            </w:r>
          </w:p>
        </w:tc>
      </w:tr>
      <w:tr w:rsidR="00947E62" w:rsidRPr="00947E62" w14:paraId="42585359" w14:textId="77777777" w:rsidTr="00947E62">
        <w:trPr>
          <w:trHeight w:val="20"/>
          <w:jc w:val="center"/>
        </w:trPr>
        <w:tc>
          <w:tcPr>
            <w:tcW w:w="5000" w:type="pct"/>
            <w:gridSpan w:val="6"/>
            <w:tcBorders>
              <w:top w:val="single" w:sz="4" w:space="0" w:color="auto"/>
              <w:bottom w:val="single" w:sz="4" w:space="0" w:color="auto"/>
            </w:tcBorders>
          </w:tcPr>
          <w:p w14:paraId="141C6CE4" w14:textId="77777777" w:rsidR="00947E62" w:rsidRPr="003E71C9" w:rsidRDefault="00947E62" w:rsidP="003E71C9">
            <w:pPr>
              <w:spacing w:line="240" w:lineRule="exact"/>
              <w:ind w:firstLineChars="200" w:firstLine="420"/>
              <w:jc w:val="left"/>
              <w:rPr>
                <w:rFonts w:ascii="仿宋" w:eastAsia="仿宋" w:hAnsi="仿宋" w:cs="Times New Roman"/>
                <w:szCs w:val="21"/>
              </w:rPr>
            </w:pPr>
            <w:r w:rsidRPr="003E71C9">
              <w:rPr>
                <w:rFonts w:ascii="仿宋" w:eastAsia="仿宋" w:hAnsi="仿宋" w:cs="Times New Roman" w:hint="eastAsia"/>
                <w:szCs w:val="21"/>
              </w:rPr>
              <w:t>建设项目存在的主要职业病危害因素及检测结果：</w:t>
            </w:r>
          </w:p>
          <w:p w14:paraId="218A3222" w14:textId="7D465E16" w:rsidR="003E71C9" w:rsidRPr="003E71C9" w:rsidRDefault="003E71C9" w:rsidP="003E71C9">
            <w:pPr>
              <w:pStyle w:val="a7"/>
              <w:spacing w:line="240" w:lineRule="exact"/>
              <w:ind w:firstLine="420"/>
              <w:rPr>
                <w:rFonts w:ascii="仿宋" w:eastAsia="仿宋" w:hAnsi="仿宋" w:cs="Times New Roman"/>
                <w:spacing w:val="0"/>
                <w:sz w:val="21"/>
              </w:rPr>
            </w:pPr>
            <w:r w:rsidRPr="003E71C9">
              <w:rPr>
                <w:rFonts w:ascii="仿宋" w:eastAsia="仿宋" w:hAnsi="仿宋" w:cs="Times New Roman"/>
                <w:spacing w:val="0"/>
                <w:sz w:val="21"/>
              </w:rPr>
              <w:t>该项目存在于生产工艺中的职业病危害因素有：</w:t>
            </w:r>
            <w:r w:rsidR="006A6CCF" w:rsidRPr="006A6CCF">
              <w:rPr>
                <w:rFonts w:ascii="仿宋" w:eastAsia="仿宋" w:hAnsi="仿宋" w:cs="Times New Roman" w:hint="eastAsia"/>
                <w:spacing w:val="0"/>
                <w:sz w:val="21"/>
              </w:rPr>
              <w:t>氢氧化钠、氯化氢及盐酸、硫酸及三氧化硫、乙酸丁酯、乙酸甲酯、正丁醇、甲醇、二氯甲烷、乙酸酐、氢氧化钾、乙腈、硫化氢、氨、噪声、其他粉尘（胆酸粉尘）、活性炭粉尘、电焊烟尘、锰及其无机化合物（按</w:t>
            </w:r>
            <w:r w:rsidR="006A6CCF" w:rsidRPr="006A6CCF">
              <w:rPr>
                <w:rFonts w:ascii="仿宋" w:eastAsia="仿宋" w:hAnsi="仿宋" w:cs="Times New Roman"/>
                <w:spacing w:val="0"/>
                <w:sz w:val="21"/>
              </w:rPr>
              <w:t>MnO</w:t>
            </w:r>
            <w:r w:rsidR="006A6CCF" w:rsidRPr="006A6CCF">
              <w:rPr>
                <w:rFonts w:ascii="Cambria Math" w:eastAsia="仿宋" w:hAnsi="Cambria Math" w:cs="Cambria Math"/>
                <w:spacing w:val="0"/>
                <w:sz w:val="21"/>
              </w:rPr>
              <w:t>₂</w:t>
            </w:r>
            <w:r w:rsidR="006A6CCF" w:rsidRPr="006A6CCF">
              <w:rPr>
                <w:rFonts w:ascii="仿宋" w:eastAsia="仿宋" w:hAnsi="仿宋" w:cs="Times New Roman" w:hint="eastAsia"/>
                <w:spacing w:val="0"/>
                <w:sz w:val="21"/>
              </w:rPr>
              <w:t>计）、臭氧、氮氧化物</w:t>
            </w:r>
            <w:r w:rsidR="006A6CCF" w:rsidRPr="006A6CCF">
              <w:rPr>
                <w:rFonts w:ascii="仿宋" w:eastAsia="仿宋" w:hAnsi="仿宋" w:cs="Times New Roman"/>
                <w:spacing w:val="0"/>
                <w:sz w:val="21"/>
              </w:rPr>
              <w:t>(</w:t>
            </w:r>
            <w:r w:rsidR="006A6CCF" w:rsidRPr="006A6CCF">
              <w:rPr>
                <w:rFonts w:ascii="仿宋" w:eastAsia="仿宋" w:hAnsi="仿宋" w:cs="Times New Roman" w:hint="eastAsia"/>
                <w:spacing w:val="0"/>
                <w:sz w:val="21"/>
              </w:rPr>
              <w:t>一氧化氮和二氧化氮</w:t>
            </w:r>
            <w:r w:rsidR="006A6CCF" w:rsidRPr="006A6CCF">
              <w:rPr>
                <w:rFonts w:ascii="仿宋" w:eastAsia="仿宋" w:hAnsi="仿宋" w:cs="Times New Roman"/>
                <w:spacing w:val="0"/>
                <w:sz w:val="21"/>
              </w:rPr>
              <w:t>)</w:t>
            </w:r>
            <w:r w:rsidR="006A6CCF" w:rsidRPr="006A6CCF">
              <w:rPr>
                <w:rFonts w:ascii="仿宋" w:eastAsia="仿宋" w:hAnsi="仿宋" w:cs="Times New Roman" w:hint="eastAsia"/>
                <w:spacing w:val="0"/>
                <w:sz w:val="21"/>
              </w:rPr>
              <w:t>、一氧化碳、紫外辐射（电焊弧光）、高温、低温、工频电磁场</w:t>
            </w:r>
            <w:r w:rsidRPr="003E71C9">
              <w:rPr>
                <w:rFonts w:ascii="仿宋" w:eastAsia="仿宋" w:hAnsi="仿宋" w:cs="Times New Roman"/>
                <w:spacing w:val="0"/>
                <w:sz w:val="21"/>
              </w:rPr>
              <w:t>。</w:t>
            </w:r>
          </w:p>
          <w:p w14:paraId="4DB20AE2" w14:textId="77777777" w:rsidR="00947E62" w:rsidRPr="003E71C9" w:rsidRDefault="003E71C9" w:rsidP="003E71C9">
            <w:pPr>
              <w:spacing w:line="240" w:lineRule="exact"/>
              <w:ind w:firstLineChars="200" w:firstLine="420"/>
              <w:rPr>
                <w:rFonts w:ascii="Times New Roman"/>
                <w:sz w:val="28"/>
                <w:szCs w:val="28"/>
              </w:rPr>
            </w:pPr>
            <w:r w:rsidRPr="003E71C9">
              <w:rPr>
                <w:rFonts w:ascii="仿宋" w:eastAsia="仿宋" w:hAnsi="仿宋" w:cs="Times New Roman"/>
                <w:szCs w:val="21"/>
              </w:rPr>
              <w:t>根据工作场所检测结果，在正常生产过程中，该项目各工种生产性毒物</w:t>
            </w:r>
            <w:r w:rsidRPr="003E71C9">
              <w:rPr>
                <w:rFonts w:ascii="仿宋" w:eastAsia="仿宋" w:hAnsi="仿宋" w:cs="Times New Roman" w:hint="eastAsia"/>
                <w:szCs w:val="21"/>
              </w:rPr>
              <w:t>、工频电磁场、噪声</w:t>
            </w:r>
            <w:r w:rsidRPr="003E71C9">
              <w:rPr>
                <w:rFonts w:ascii="仿宋" w:eastAsia="仿宋" w:hAnsi="仿宋" w:cs="Times New Roman"/>
                <w:szCs w:val="21"/>
              </w:rPr>
              <w:t>的浓度或强度均低于职业接触限值</w:t>
            </w:r>
            <w:r w:rsidRPr="003E71C9">
              <w:rPr>
                <w:rFonts w:ascii="仿宋" w:eastAsia="仿宋" w:hAnsi="仿宋" w:cs="Times New Roman" w:hint="eastAsia"/>
                <w:szCs w:val="21"/>
              </w:rPr>
              <w:t>，</w:t>
            </w:r>
            <w:r w:rsidRPr="003E71C9">
              <w:rPr>
                <w:rFonts w:ascii="仿宋" w:eastAsia="仿宋" w:hAnsi="仿宋" w:cs="Times New Roman"/>
                <w:szCs w:val="21"/>
              </w:rPr>
              <w:t>符合要求</w:t>
            </w:r>
            <w:r w:rsidRPr="003E71C9">
              <w:rPr>
                <w:rFonts w:ascii="仿宋" w:eastAsia="仿宋" w:hAnsi="仿宋" w:cs="Times New Roman" w:hint="eastAsia"/>
                <w:szCs w:val="21"/>
              </w:rPr>
              <w:t>。</w:t>
            </w:r>
          </w:p>
        </w:tc>
      </w:tr>
      <w:tr w:rsidR="00947E62" w:rsidRPr="00947E62" w14:paraId="6D179C0C" w14:textId="77777777" w:rsidTr="00947E62">
        <w:trPr>
          <w:trHeight w:val="20"/>
          <w:jc w:val="center"/>
        </w:trPr>
        <w:tc>
          <w:tcPr>
            <w:tcW w:w="5000" w:type="pct"/>
            <w:gridSpan w:val="6"/>
            <w:tcBorders>
              <w:top w:val="single" w:sz="4" w:space="0" w:color="auto"/>
              <w:bottom w:val="single" w:sz="4" w:space="0" w:color="auto"/>
            </w:tcBorders>
          </w:tcPr>
          <w:p w14:paraId="1AFDA8A5"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1）进一步完善职业卫生管理档案。</w:t>
            </w:r>
          </w:p>
          <w:p w14:paraId="103B80A9"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2）依据低毒代替高毒，无毒代替低毒的原则，尽量采购不含高毒物质的原辅材料。</w:t>
            </w:r>
          </w:p>
          <w:p w14:paraId="55C38825"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3）加强个人防护用品佩戴管理，严格要求作业人员佩戴防尘毒口罩，定期检查防护用品佩戴情况。经过现场调查，生产人员均佩戴防毒口罩，而个别员工未正确佩戴，建议企业制定规定制度，强化个人防护用品佩戴管理，确保作业人员作业时正确佩戴。</w:t>
            </w:r>
          </w:p>
          <w:p w14:paraId="494AC87C"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4）对从事接触职业病危害因素作业的劳动者，该公司应当按照《用人单位职业健康监护监督管理办法》（原国家安全生产监督管理总局令第49号）、《职业健康监护技术规范》（GBZ188-2014）等有关规定完善职业健康检查。</w:t>
            </w:r>
          </w:p>
          <w:p w14:paraId="54FA1D1B"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5）加强动力中心高噪声设备的管理，定期维护，降低噪声源。为噪声作业岗位员工配备防噪耳塞，并监督其有效佩戴，减少噪声作业时间。</w:t>
            </w:r>
          </w:p>
          <w:p w14:paraId="1A3B6968"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6）后续在2、3期投产后，污水处理系统达到了设计污水处理能力，应加强污水处理设施的维护保养，特别是要保证通风设施的有效性，制定《污水处理池清池管理制度》，明确外委单位清淤作业管理要求。</w:t>
            </w:r>
          </w:p>
          <w:p w14:paraId="74477107"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7）按照《生产安全事故应急救援预案》的要求，加强应急演练，保存演练记录。</w:t>
            </w:r>
          </w:p>
          <w:p w14:paraId="73C806DC"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8）根据工作场所各工作岗位的生产特点，按照《工作场所职业病危害警示标识》（GBZ158-2003）和《国家安全监管总局办公厅关于印发用人单位职业病危害告知与警示标识管理规范的通知》（原安监总厅安健〔2014〕111号）的要求，在工作场所中可能产生职业病危害</w:t>
            </w:r>
            <w:r w:rsidRPr="006A6CCF">
              <w:rPr>
                <w:rFonts w:ascii="仿宋" w:eastAsia="仿宋" w:hAnsi="仿宋" w:cs="Times New Roman" w:hint="eastAsia"/>
                <w:szCs w:val="21"/>
              </w:rPr>
              <w:lastRenderedPageBreak/>
              <w:t>的设备设置相应的图形标识、警示线、警示语句和文字等警示标识。同时，在相应的工作岗位设置职业病危害因素告知卡明确告知以下内容：如危害因素种类、对健康的影响、国家职业卫生标准、检测结果等。</w:t>
            </w:r>
          </w:p>
          <w:p w14:paraId="5BBC26B9" w14:textId="77777777" w:rsidR="006A6CCF" w:rsidRPr="006A6CCF" w:rsidRDefault="006A6CCF" w:rsidP="006A6CCF">
            <w:pPr>
              <w:spacing w:line="280" w:lineRule="exact"/>
              <w:ind w:firstLineChars="200" w:firstLine="420"/>
              <w:jc w:val="left"/>
              <w:rPr>
                <w:rFonts w:ascii="仿宋" w:eastAsia="仿宋" w:hAnsi="仿宋" w:cs="Times New Roman" w:hint="eastAsia"/>
                <w:szCs w:val="21"/>
              </w:rPr>
            </w:pPr>
            <w:r w:rsidRPr="006A6CCF">
              <w:rPr>
                <w:rFonts w:ascii="仿宋" w:eastAsia="仿宋" w:hAnsi="仿宋" w:cs="Times New Roman" w:hint="eastAsia"/>
                <w:szCs w:val="21"/>
              </w:rPr>
              <w:t>9）建设项目正式投产后生产规模、工艺或者职业病危害因素的种类、防护设施等发生变更时，应当按照有关规定对变更内容重新进行职业病危害评价和职业卫生审核或备案。</w:t>
            </w:r>
          </w:p>
          <w:p w14:paraId="36D6E4E3" w14:textId="5C266A56" w:rsidR="00947E62" w:rsidRPr="006A6CCF" w:rsidRDefault="006A6CCF" w:rsidP="006A6CCF">
            <w:pPr>
              <w:pStyle w:val="a7"/>
              <w:spacing w:line="280" w:lineRule="exact"/>
              <w:ind w:firstLine="452"/>
              <w:rPr>
                <w:rFonts w:ascii="Times New Roman"/>
                <w:spacing w:val="0"/>
                <w:sz w:val="21"/>
              </w:rPr>
            </w:pPr>
            <w:r w:rsidRPr="006A6CCF">
              <w:rPr>
                <w:rFonts w:ascii="仿宋" w:eastAsia="仿宋" w:hAnsi="仿宋" w:cs="Times New Roman" w:hint="eastAsia"/>
                <w:sz w:val="21"/>
              </w:rPr>
              <w:t>10）按照《工作场所职业卫生管理规定》（中华人民共和国国家卫生健康委员会令第5号，2021年）的要求。加强该项目的职业卫生管理工作，应做好每年一次的作业场所职业病危害因素定期检测工作，每三年进行一次职业病危害现状评价工作，检测、评价结果应当存入本单位职业卫生档案。</w:t>
            </w:r>
          </w:p>
        </w:tc>
      </w:tr>
      <w:tr w:rsidR="00947E62" w:rsidRPr="00947E62" w14:paraId="37D6CFAD" w14:textId="77777777" w:rsidTr="00947E62">
        <w:trPr>
          <w:trHeight w:val="20"/>
          <w:jc w:val="center"/>
        </w:trPr>
        <w:tc>
          <w:tcPr>
            <w:tcW w:w="5000" w:type="pct"/>
            <w:gridSpan w:val="6"/>
            <w:tcBorders>
              <w:top w:val="single" w:sz="4" w:space="0" w:color="auto"/>
              <w:bottom w:val="single" w:sz="4" w:space="0" w:color="auto"/>
            </w:tcBorders>
          </w:tcPr>
          <w:p w14:paraId="3DCA726B" w14:textId="77777777" w:rsidR="00947E62" w:rsidRDefault="00947E62" w:rsidP="006A6CCF">
            <w:pPr>
              <w:spacing w:line="240" w:lineRule="exact"/>
              <w:ind w:firstLineChars="200" w:firstLine="420"/>
              <w:jc w:val="left"/>
              <w:rPr>
                <w:rFonts w:ascii="仿宋" w:eastAsia="仿宋" w:hAnsi="仿宋" w:cs="Times New Roman"/>
                <w:szCs w:val="21"/>
              </w:rPr>
            </w:pPr>
            <w:r w:rsidRPr="00947E62">
              <w:rPr>
                <w:rFonts w:ascii="仿宋" w:eastAsia="仿宋" w:hAnsi="仿宋" w:cs="Times New Roman" w:hint="eastAsia"/>
                <w:szCs w:val="21"/>
              </w:rPr>
              <w:lastRenderedPageBreak/>
              <w:t>技术审查专家组评审意见：</w:t>
            </w:r>
          </w:p>
          <w:p w14:paraId="1A9448AB" w14:textId="3A681C05" w:rsidR="00947E62" w:rsidRPr="006A6CCF" w:rsidRDefault="006A6CCF" w:rsidP="006A6CCF">
            <w:pPr>
              <w:widowControl/>
              <w:tabs>
                <w:tab w:val="left" w:pos="3960"/>
              </w:tabs>
              <w:adjustRightInd w:val="0"/>
              <w:snapToGrid w:val="0"/>
              <w:spacing w:line="240" w:lineRule="exact"/>
              <w:ind w:firstLineChars="308" w:firstLine="647"/>
              <w:jc w:val="left"/>
              <w:rPr>
                <w:rFonts w:hAnsi="宋体"/>
                <w:sz w:val="24"/>
              </w:rPr>
            </w:pPr>
            <w:r w:rsidRPr="006A6CCF">
              <w:rPr>
                <w:rFonts w:ascii="仿宋" w:eastAsia="仿宋" w:hAnsi="仿宋" w:cs="Times New Roman" w:hint="eastAsia"/>
                <w:szCs w:val="21"/>
              </w:rPr>
              <w:t>1</w:t>
            </w:r>
            <w:r w:rsidRPr="006A6CCF">
              <w:rPr>
                <w:rFonts w:ascii="仿宋" w:eastAsia="仿宋" w:hAnsi="仿宋" w:cs="Times New Roman" w:hint="eastAsia"/>
                <w:szCs w:val="21"/>
              </w:rPr>
              <w:t>）完善原辅材料输送工艺的分析与评价；</w:t>
            </w:r>
            <w:r w:rsidRPr="006A6CCF">
              <w:rPr>
                <w:rFonts w:ascii="仿宋" w:eastAsia="仿宋" w:hAnsi="仿宋" w:cs="Times New Roman" w:hint="eastAsia"/>
                <w:szCs w:val="21"/>
              </w:rPr>
              <w:t>2</w:t>
            </w:r>
            <w:r w:rsidRPr="006A6CCF">
              <w:rPr>
                <w:rFonts w:ascii="仿宋" w:eastAsia="仿宋" w:hAnsi="仿宋" w:cs="Times New Roman" w:hint="eastAsia"/>
                <w:szCs w:val="21"/>
              </w:rPr>
              <w:t>）细化投料、取样分析及防护设施的评价；</w:t>
            </w:r>
            <w:r w:rsidRPr="006A6CCF">
              <w:rPr>
                <w:rFonts w:ascii="仿宋" w:eastAsia="仿宋" w:hAnsi="仿宋" w:cs="Times New Roman" w:hint="eastAsia"/>
                <w:szCs w:val="21"/>
              </w:rPr>
              <w:t>3</w:t>
            </w:r>
            <w:r w:rsidRPr="006A6CCF">
              <w:rPr>
                <w:rFonts w:ascii="仿宋" w:eastAsia="仿宋" w:hAnsi="仿宋" w:cs="Times New Roman" w:hint="eastAsia"/>
                <w:szCs w:val="21"/>
              </w:rPr>
              <w:t>）完善应急救援设施的评价内容；</w:t>
            </w:r>
            <w:r>
              <w:rPr>
                <w:rFonts w:ascii="仿宋" w:eastAsia="仿宋" w:hAnsi="仿宋" w:cs="Times New Roman"/>
                <w:szCs w:val="21"/>
              </w:rPr>
              <w:t>4</w:t>
            </w:r>
            <w:r w:rsidR="00947E62" w:rsidRPr="00947E62">
              <w:rPr>
                <w:rFonts w:ascii="仿宋" w:eastAsia="仿宋" w:hAnsi="仿宋" w:cs="Times New Roman" w:hint="eastAsia"/>
                <w:szCs w:val="21"/>
              </w:rPr>
              <w:t>）专家提出的其他个人意见。</w:t>
            </w:r>
          </w:p>
          <w:p w14:paraId="45B47AC6" w14:textId="77777777" w:rsidR="00947E62" w:rsidRPr="00947E62" w:rsidRDefault="00947E62" w:rsidP="006A6CCF">
            <w:pPr>
              <w:spacing w:line="240" w:lineRule="exact"/>
              <w:ind w:firstLineChars="200" w:firstLine="420"/>
              <w:jc w:val="left"/>
              <w:rPr>
                <w:rFonts w:ascii="仿宋" w:eastAsia="仿宋" w:hAnsi="仿宋" w:cs="Times New Roman"/>
                <w:szCs w:val="21"/>
              </w:rPr>
            </w:pPr>
            <w:r w:rsidRPr="00947E62">
              <w:rPr>
                <w:rFonts w:ascii="仿宋" w:eastAsia="仿宋" w:hAnsi="仿宋" w:cs="Times New Roman" w:hint="eastAsia"/>
                <w:szCs w:val="21"/>
              </w:rPr>
              <w:t>专家组同意修改后通过《控制效果评价报告》，修改后的《控制效果评价报告》须经专家组长确认。</w:t>
            </w:r>
          </w:p>
        </w:tc>
      </w:tr>
    </w:tbl>
    <w:p w14:paraId="46EA0035" w14:textId="77777777" w:rsidR="00355A35" w:rsidRPr="002D5244" w:rsidRDefault="00355A35"/>
    <w:sectPr w:rsidR="00355A35" w:rsidRPr="002D5244" w:rsidSect="000851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E757" w14:textId="77777777" w:rsidR="000851EF" w:rsidRPr="00E17425" w:rsidRDefault="000851EF" w:rsidP="002D5244">
      <w:pPr>
        <w:ind w:firstLine="536"/>
        <w:rPr>
          <w:rFonts w:ascii="Times New Roman" w:eastAsia="仿宋_GB2312" w:hAnsi="Times New Roman" w:cs="Times New Roman"/>
          <w:spacing w:val="-6"/>
          <w:sz w:val="28"/>
          <w:szCs w:val="21"/>
        </w:rPr>
      </w:pPr>
      <w:r>
        <w:separator/>
      </w:r>
    </w:p>
  </w:endnote>
  <w:endnote w:type="continuationSeparator" w:id="0">
    <w:p w14:paraId="4E7B4C08" w14:textId="77777777" w:rsidR="000851EF" w:rsidRPr="00E17425" w:rsidRDefault="000851EF" w:rsidP="002D5244">
      <w:pPr>
        <w:ind w:firstLine="536"/>
        <w:rPr>
          <w:rFonts w:ascii="Times New Roman" w:eastAsia="仿宋_GB2312" w:hAnsi="Times New Roman" w:cs="Times New Roman"/>
          <w:spacing w:val="-6"/>
          <w:sz w:val="28"/>
          <w:szCs w:val="21"/>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F429" w14:textId="77777777" w:rsidR="000851EF" w:rsidRPr="00E17425" w:rsidRDefault="000851EF" w:rsidP="002D5244">
      <w:pPr>
        <w:ind w:firstLine="536"/>
        <w:rPr>
          <w:rFonts w:ascii="Times New Roman" w:eastAsia="仿宋_GB2312" w:hAnsi="Times New Roman" w:cs="Times New Roman"/>
          <w:spacing w:val="-6"/>
          <w:sz w:val="28"/>
          <w:szCs w:val="21"/>
        </w:rPr>
      </w:pPr>
      <w:r>
        <w:separator/>
      </w:r>
    </w:p>
  </w:footnote>
  <w:footnote w:type="continuationSeparator" w:id="0">
    <w:p w14:paraId="10F6862E" w14:textId="77777777" w:rsidR="000851EF" w:rsidRPr="00E17425" w:rsidRDefault="000851EF" w:rsidP="002D5244">
      <w:pPr>
        <w:ind w:firstLine="536"/>
        <w:rPr>
          <w:rFonts w:ascii="Times New Roman" w:eastAsia="仿宋_GB2312" w:hAnsi="Times New Roman" w:cs="Times New Roman"/>
          <w:spacing w:val="-6"/>
          <w:sz w:val="28"/>
          <w:szCs w:val="21"/>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15A44"/>
    <w:multiLevelType w:val="hybridMultilevel"/>
    <w:tmpl w:val="94342746"/>
    <w:lvl w:ilvl="0" w:tplc="203C1498">
      <w:start w:val="1"/>
      <w:numFmt w:val="decimal"/>
      <w:lvlText w:val="%1）"/>
      <w:lvlJc w:val="left"/>
      <w:pPr>
        <w:ind w:left="1164" w:hanging="74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4814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5244"/>
    <w:rsid w:val="00051C70"/>
    <w:rsid w:val="000851EF"/>
    <w:rsid w:val="000F661D"/>
    <w:rsid w:val="00214AD5"/>
    <w:rsid w:val="002D5244"/>
    <w:rsid w:val="00355A35"/>
    <w:rsid w:val="003B4DD7"/>
    <w:rsid w:val="003E27EE"/>
    <w:rsid w:val="003E71C9"/>
    <w:rsid w:val="003F0872"/>
    <w:rsid w:val="004B6752"/>
    <w:rsid w:val="00531B8B"/>
    <w:rsid w:val="005B6422"/>
    <w:rsid w:val="005C5F7A"/>
    <w:rsid w:val="006A6CCF"/>
    <w:rsid w:val="00707C84"/>
    <w:rsid w:val="007C3FDC"/>
    <w:rsid w:val="008758AC"/>
    <w:rsid w:val="00947E62"/>
    <w:rsid w:val="00A01BF0"/>
    <w:rsid w:val="00D86716"/>
    <w:rsid w:val="00E0380F"/>
    <w:rsid w:val="00E04A58"/>
    <w:rsid w:val="00E6761E"/>
    <w:rsid w:val="00EC7B75"/>
    <w:rsid w:val="00F2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A63E"/>
  <w15:docId w15:val="{C6A4697F-D9D0-458A-B56E-7A1108E4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F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2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5244"/>
    <w:rPr>
      <w:sz w:val="18"/>
      <w:szCs w:val="18"/>
    </w:rPr>
  </w:style>
  <w:style w:type="paragraph" w:styleId="a5">
    <w:name w:val="footer"/>
    <w:basedOn w:val="a"/>
    <w:link w:val="a6"/>
    <w:uiPriority w:val="99"/>
    <w:unhideWhenUsed/>
    <w:rsid w:val="002D5244"/>
    <w:pPr>
      <w:tabs>
        <w:tab w:val="center" w:pos="4153"/>
        <w:tab w:val="right" w:pos="8306"/>
      </w:tabs>
      <w:snapToGrid w:val="0"/>
      <w:jc w:val="left"/>
    </w:pPr>
    <w:rPr>
      <w:sz w:val="18"/>
      <w:szCs w:val="18"/>
    </w:rPr>
  </w:style>
  <w:style w:type="character" w:customStyle="1" w:styleId="a6">
    <w:name w:val="页脚 字符"/>
    <w:basedOn w:val="a0"/>
    <w:link w:val="a5"/>
    <w:uiPriority w:val="99"/>
    <w:rsid w:val="002D5244"/>
    <w:rPr>
      <w:sz w:val="18"/>
      <w:szCs w:val="18"/>
    </w:rPr>
  </w:style>
  <w:style w:type="character" w:customStyle="1" w:styleId="CharChar">
    <w:name w:val="排版正文 Char Char"/>
    <w:link w:val="a7"/>
    <w:locked/>
    <w:rsid w:val="00947E62"/>
    <w:rPr>
      <w:rFonts w:ascii="仿宋_GB2312" w:eastAsia="仿宋_GB2312" w:hAnsi="Times New Roman"/>
      <w:spacing w:val="8"/>
      <w:sz w:val="28"/>
      <w:szCs w:val="21"/>
    </w:rPr>
  </w:style>
  <w:style w:type="paragraph" w:customStyle="1" w:styleId="a7">
    <w:name w:val="排版正文"/>
    <w:link w:val="CharChar"/>
    <w:qFormat/>
    <w:rsid w:val="00947E62"/>
    <w:pPr>
      <w:widowControl w:val="0"/>
      <w:spacing w:line="460" w:lineRule="exact"/>
      <w:ind w:firstLineChars="200" w:firstLine="200"/>
      <w:jc w:val="both"/>
    </w:pPr>
    <w:rPr>
      <w:rFonts w:ascii="仿宋_GB2312" w:eastAsia="仿宋_GB2312" w:hAnsi="Times New Roman"/>
      <w:spacing w:val="8"/>
      <w:sz w:val="28"/>
      <w:szCs w:val="21"/>
    </w:rPr>
  </w:style>
  <w:style w:type="paragraph" w:styleId="a8">
    <w:name w:val="List Paragraph"/>
    <w:basedOn w:val="a"/>
    <w:uiPriority w:val="34"/>
    <w:qFormat/>
    <w:rsid w:val="00947E62"/>
    <w:pPr>
      <w:ind w:firstLineChars="200" w:firstLine="420"/>
    </w:pPr>
  </w:style>
  <w:style w:type="character" w:styleId="a9">
    <w:name w:val="annotation reference"/>
    <w:basedOn w:val="a0"/>
    <w:uiPriority w:val="99"/>
    <w:semiHidden/>
    <w:unhideWhenUsed/>
    <w:rsid w:val="00947E62"/>
    <w:rPr>
      <w:sz w:val="21"/>
      <w:szCs w:val="21"/>
    </w:rPr>
  </w:style>
  <w:style w:type="paragraph" w:styleId="aa">
    <w:name w:val="annotation text"/>
    <w:basedOn w:val="a"/>
    <w:link w:val="ab"/>
    <w:uiPriority w:val="99"/>
    <w:semiHidden/>
    <w:unhideWhenUsed/>
    <w:rsid w:val="00947E62"/>
    <w:pPr>
      <w:jc w:val="left"/>
    </w:pPr>
  </w:style>
  <w:style w:type="character" w:customStyle="1" w:styleId="ab">
    <w:name w:val="批注文字 字符"/>
    <w:basedOn w:val="a0"/>
    <w:link w:val="aa"/>
    <w:uiPriority w:val="99"/>
    <w:semiHidden/>
    <w:rsid w:val="00947E62"/>
  </w:style>
  <w:style w:type="paragraph" w:styleId="ac">
    <w:name w:val="annotation subject"/>
    <w:basedOn w:val="aa"/>
    <w:next w:val="aa"/>
    <w:link w:val="ad"/>
    <w:uiPriority w:val="99"/>
    <w:semiHidden/>
    <w:unhideWhenUsed/>
    <w:rsid w:val="00947E62"/>
    <w:rPr>
      <w:b/>
      <w:bCs/>
    </w:rPr>
  </w:style>
  <w:style w:type="character" w:customStyle="1" w:styleId="ad">
    <w:name w:val="批注主题 字符"/>
    <w:basedOn w:val="ab"/>
    <w:link w:val="ac"/>
    <w:uiPriority w:val="99"/>
    <w:semiHidden/>
    <w:rsid w:val="00947E62"/>
    <w:rPr>
      <w:b/>
      <w:bCs/>
    </w:rPr>
  </w:style>
  <w:style w:type="paragraph" w:styleId="ae">
    <w:name w:val="Balloon Text"/>
    <w:basedOn w:val="a"/>
    <w:link w:val="af"/>
    <w:uiPriority w:val="99"/>
    <w:semiHidden/>
    <w:unhideWhenUsed/>
    <w:rsid w:val="00947E62"/>
    <w:rPr>
      <w:sz w:val="18"/>
      <w:szCs w:val="18"/>
    </w:rPr>
  </w:style>
  <w:style w:type="character" w:customStyle="1" w:styleId="af">
    <w:name w:val="批注框文本 字符"/>
    <w:basedOn w:val="a0"/>
    <w:link w:val="ae"/>
    <w:uiPriority w:val="99"/>
    <w:semiHidden/>
    <w:rsid w:val="00947E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0134">
      <w:bodyDiv w:val="1"/>
      <w:marLeft w:val="0"/>
      <w:marRight w:val="0"/>
      <w:marTop w:val="0"/>
      <w:marBottom w:val="0"/>
      <w:divBdr>
        <w:top w:val="none" w:sz="0" w:space="0" w:color="auto"/>
        <w:left w:val="none" w:sz="0" w:space="0" w:color="auto"/>
        <w:bottom w:val="none" w:sz="0" w:space="0" w:color="auto"/>
        <w:right w:val="none" w:sz="0" w:space="0" w:color="auto"/>
      </w:divBdr>
    </w:div>
    <w:div w:id="1334721153">
      <w:bodyDiv w:val="1"/>
      <w:marLeft w:val="0"/>
      <w:marRight w:val="0"/>
      <w:marTop w:val="0"/>
      <w:marBottom w:val="0"/>
      <w:divBdr>
        <w:top w:val="none" w:sz="0" w:space="0" w:color="auto"/>
        <w:left w:val="none" w:sz="0" w:space="0" w:color="auto"/>
        <w:bottom w:val="none" w:sz="0" w:space="0" w:color="auto"/>
        <w:right w:val="none" w:sz="0" w:space="0" w:color="auto"/>
      </w:divBdr>
    </w:div>
    <w:div w:id="14795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B1F74-7199-41AA-9E68-98A22484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323</Words>
  <Characters>1847</Characters>
  <Application>Microsoft Office Word</Application>
  <DocSecurity>0</DocSecurity>
  <Lines>15</Lines>
  <Paragraphs>4</Paragraphs>
  <ScaleCrop>false</ScaleCrop>
  <Company>微软中国</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效栋 韩</cp:lastModifiedBy>
  <cp:revision>11</cp:revision>
  <dcterms:created xsi:type="dcterms:W3CDTF">2020-04-20T06:47:00Z</dcterms:created>
  <dcterms:modified xsi:type="dcterms:W3CDTF">2024-01-24T02:07:00Z</dcterms:modified>
</cp:coreProperties>
</file>