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r>
              <w:rPr>
                <w:rFonts w:hint="eastAsia"/>
                <w:color w:val="auto"/>
                <w:lang w:eastAsia="zh-CN"/>
              </w:rPr>
              <w:t>三峡新能源阳江发电有限公司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eastAsia="zh-CN"/>
              </w:rPr>
              <w:t>三峡新能源阳江发电有限公司阳江高新技术港口园区风机制造项目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广东省阳江市高新区西南部港口工业园海港二横路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r>
              <w:rPr>
                <w:rFonts w:hint="eastAsia"/>
                <w:lang w:val="en-US" w:eastAsia="zh-CN"/>
              </w:rPr>
              <w:t>项目总占地面积6.5万多平米，建设总投资1.6亿元。产品定位包括海上风电管桩、导管架、塔筒及升压站平台、港口起重机械等，具备年产海工钢结构产品5万吨的产能。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黄俊程、赵文朋</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2022.1.10</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韩效栋、文明</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2022.1.17</w:t>
            </w:r>
            <w:r>
              <w:rPr>
                <w:rFonts w:hint="eastAsia"/>
              </w:rPr>
              <w:t>~</w:t>
            </w:r>
            <w:r>
              <w:rPr>
                <w:rFonts w:hint="eastAsia"/>
                <w:lang w:val="en-US" w:eastAsia="zh-CN"/>
              </w:rPr>
              <w:t>19</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电焊烟尘、砂轮磨尘、锰及其无机化合物、苯、甲苯、二甲苯、乙苯、甲醇、乙酸甲酯、乙酸丁酯、丙酮、正丁醇、壬烷、环己酮、氮氧化物、一氧化碳、臭氧、噪声、高温、紫外线、手传振动、工频电场。</w:t>
            </w:r>
            <w:r>
              <w:rPr>
                <w:rFonts w:hint="eastAsia"/>
                <w:lang w:val="en-US" w:eastAsia="zh-CN"/>
              </w:rPr>
              <w:t>经检测，喷砂房手工喷砂岗位的其他粉尘短时间接触浓度不符合职业接触限值要求，下料工、坡口工、卷板工、纵缝工、环缝工、组对工、打砂工、喷漆工的噪声接触水平不符合职业接触限值要求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在生产工艺允许条件下，更换无毒或低毒的油漆。</w:t>
            </w:r>
            <w:r>
              <w:rPr>
                <w:rFonts w:hint="eastAsia"/>
              </w:rPr>
              <w:t>2）制定《抑制二次扬尘操作规程》，及时清理喷砂房地面、设备表面等的积尘，清理时避免扬尘应采取洒水湿式打扫或吸尘器；针对除尘布袋、吸尘管道应及时清理或更换，使防护设施处于良好的运行状态。</w:t>
            </w:r>
            <w:r>
              <w:rPr>
                <w:rFonts w:hint="eastAsia"/>
                <w:color w:val="auto"/>
                <w:kern w:val="28"/>
                <w:lang w:val="en-US" w:eastAsia="zh-CN"/>
              </w:rPr>
              <w:t>3）日常加强生产设备点检，添加润滑油等维持设备处于良好的运转状态。4）日常生产期间加强除尘防毒职业病防护设施的维修保养，防止因防护设施故障或老化导致防护效果降低，严禁在防护设施没有正常运作的情况下进行生产作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补充完善建议与措施内容::</w:t>
            </w:r>
            <w:r>
              <w:rPr>
                <w:rFonts w:hint="eastAsia"/>
              </w:rPr>
              <w:t>；2）</w:t>
            </w:r>
            <w:r>
              <w:rPr>
                <w:rFonts w:hint="eastAsia"/>
                <w:lang w:val="en-US" w:eastAsia="zh-CN"/>
              </w:rPr>
              <w:t>核准该项目的劳动定员数据</w:t>
            </w:r>
            <w:r>
              <w:rPr>
                <w:rFonts w:hint="eastAsia"/>
                <w:lang w:eastAsia="zh-CN"/>
              </w:rPr>
              <w:t>；</w:t>
            </w:r>
            <w:r>
              <w:rPr>
                <w:rFonts w:hint="eastAsia"/>
                <w:lang w:val="en-US" w:eastAsia="zh-CN"/>
              </w:rPr>
              <w:t>3）补充完善职业病防护设施分析评价内容；4）</w:t>
            </w:r>
            <w:r>
              <w:rPr>
                <w:rFonts w:hint="eastAsia"/>
              </w:rPr>
              <w:t>专家提出的其他个人意见</w:t>
            </w:r>
            <w:r>
              <w:rPr>
                <w:rFonts w:hint="eastAsia"/>
                <w:lang w:eastAsia="zh-CN"/>
              </w:rPr>
              <w:t>；</w:t>
            </w:r>
            <w:bookmarkStart w:id="0" w:name="_GoBack"/>
            <w:bookmarkEnd w:id="0"/>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12D0479"/>
    <w:rsid w:val="02753E85"/>
    <w:rsid w:val="041B0A5C"/>
    <w:rsid w:val="057A17B3"/>
    <w:rsid w:val="0721282E"/>
    <w:rsid w:val="076B3AA9"/>
    <w:rsid w:val="08A7178C"/>
    <w:rsid w:val="095C7B4D"/>
    <w:rsid w:val="0B205097"/>
    <w:rsid w:val="0BE107DE"/>
    <w:rsid w:val="0CE95B9C"/>
    <w:rsid w:val="0DE62C9D"/>
    <w:rsid w:val="0EA164EF"/>
    <w:rsid w:val="0EAF24CD"/>
    <w:rsid w:val="0FA933C0"/>
    <w:rsid w:val="10B4026F"/>
    <w:rsid w:val="12541D09"/>
    <w:rsid w:val="1285363F"/>
    <w:rsid w:val="14031734"/>
    <w:rsid w:val="156D6C3E"/>
    <w:rsid w:val="1AF71484"/>
    <w:rsid w:val="1C112A19"/>
    <w:rsid w:val="1C250273"/>
    <w:rsid w:val="1C3F7586"/>
    <w:rsid w:val="204038CD"/>
    <w:rsid w:val="21676C37"/>
    <w:rsid w:val="22356D36"/>
    <w:rsid w:val="23DA7B95"/>
    <w:rsid w:val="25553977"/>
    <w:rsid w:val="259D3570"/>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0B4369"/>
    <w:rsid w:val="38857FA0"/>
    <w:rsid w:val="3D60119F"/>
    <w:rsid w:val="3E79027E"/>
    <w:rsid w:val="406665E0"/>
    <w:rsid w:val="42B37AD7"/>
    <w:rsid w:val="42EB101F"/>
    <w:rsid w:val="436C1B2E"/>
    <w:rsid w:val="472B2331"/>
    <w:rsid w:val="486A50DB"/>
    <w:rsid w:val="4D1A2C2C"/>
    <w:rsid w:val="4D6C7200"/>
    <w:rsid w:val="4D714816"/>
    <w:rsid w:val="4DC64B62"/>
    <w:rsid w:val="4E9D1D67"/>
    <w:rsid w:val="4F1162B1"/>
    <w:rsid w:val="4F626B0C"/>
    <w:rsid w:val="4FB629D5"/>
    <w:rsid w:val="50642410"/>
    <w:rsid w:val="51542485"/>
    <w:rsid w:val="517B5C63"/>
    <w:rsid w:val="51A57D4C"/>
    <w:rsid w:val="520143BB"/>
    <w:rsid w:val="52846D9A"/>
    <w:rsid w:val="577371DA"/>
    <w:rsid w:val="58580AAD"/>
    <w:rsid w:val="5DED10A9"/>
    <w:rsid w:val="608C39E9"/>
    <w:rsid w:val="611C09F5"/>
    <w:rsid w:val="630B728A"/>
    <w:rsid w:val="63427A00"/>
    <w:rsid w:val="6387779E"/>
    <w:rsid w:val="655C6080"/>
    <w:rsid w:val="67D87514"/>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7F24B4"/>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basedOn w:val="1"/>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954</Words>
  <Characters>997</Characters>
  <Lines>9</Lines>
  <Paragraphs>2</Paragraphs>
  <TotalTime>0</TotalTime>
  <ScaleCrop>false</ScaleCrop>
  <LinksUpToDate>false</LinksUpToDate>
  <CharactersWithSpaces>1016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2023-05-23T03:06:36Z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A009443AC1EB401A9667616621A275C4_13</vt:lpwstr>
  </property>
</Properties>
</file>