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ascii="仿宋" w:hAnsi="仿宋" w:eastAsia="仿宋" w:cs="Times New Roman"/>
                <w:szCs w:val="21"/>
              </w:rPr>
            </w:pPr>
            <w:r>
              <w:rPr>
                <w:rFonts w:hint="eastAsia"/>
                <w:color w:val="auto"/>
                <w:lang w:eastAsia="zh-CN"/>
              </w:rPr>
              <w:t>广东世纪青山镍业有限公司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eastAsia="zh-CN"/>
              </w:rPr>
              <w:t>广东世纪青山镍业有限公司年产纯镍5万吨的镍合金产业链技术改造项目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阳江高新区海港纵一路1号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hint="default" w:ascii="仿宋" w:hAnsi="仿宋" w:eastAsia="仿宋" w:cs="Times New Roman"/>
                <w:szCs w:val="21"/>
                <w:lang w:val="en-US" w:eastAsia="zh-CN"/>
              </w:rPr>
            </w:pPr>
            <w:r>
              <w:rPr>
                <w:rFonts w:hint="eastAsia"/>
                <w:kern w:val="0"/>
                <w:sz w:val="21"/>
                <w:szCs w:val="21"/>
                <w:lang w:val="en-US" w:eastAsia="zh-CN"/>
              </w:rPr>
              <w:t>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eastAsia="仿宋"/>
                <w:vertAlign w:val="baseline"/>
                <w:lang w:val="en-US" w:eastAsia="zh-CN"/>
              </w:rPr>
            </w:pPr>
            <w:bookmarkStart w:id="0" w:name="_Hlk37746577"/>
            <w:r>
              <w:rPr>
                <w:rFonts w:hint="eastAsia"/>
                <w:lang w:val="en-US" w:eastAsia="zh-CN"/>
              </w:rPr>
              <w:t>广东世纪青山镍业有限公司年产纯镍量5万吨的镍合金产业链技术改造</w:t>
            </w:r>
            <w:bookmarkStart w:id="1" w:name="_Hlk37746018"/>
            <w:r>
              <w:rPr>
                <w:rFonts w:hint="eastAsia"/>
                <w:lang w:val="en-US" w:eastAsia="zh-CN"/>
              </w:rPr>
              <w:t>项目年需求红土镍矿245万吨（干基，平均含镍1.62%），设计生产镍铁含镍3.69万吨/年。该项目采用回转窑—矿热炉冶炼工艺（简称RKEF工艺），处理红土镍矿生产镍铁；技改后年产纯镍量由现有2万吨提升至3.685万吨，镍合金产量由现有20万吨提升至36.85万吨/年</w:t>
            </w:r>
            <w:bookmarkEnd w:id="0"/>
            <w:bookmarkEnd w:id="1"/>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刘霞、赵文朋</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2022.6.27</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文明、饶望冬</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2022.7.18</w:t>
            </w:r>
            <w:r>
              <w:rPr>
                <w:rFonts w:hint="eastAsia"/>
              </w:rPr>
              <w:t>~</w:t>
            </w:r>
            <w:r>
              <w:rPr>
                <w:rFonts w:hint="eastAsia"/>
                <w:lang w:val="en-US" w:eastAsia="zh-CN"/>
              </w:rPr>
              <w:t>23</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4"/>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噪声、手传振动、工频电场、一氧化碳、二氧化碳、高温、排风罩控制风速、紫外辐射、矽尘（总尘、呼尘）、石灰石粉尘（总尘、呼尘）、氧化镁烟、铬酸盐、二氧化硫、氨、铜烟、锰及其无机化合物（按MnO2计）、金属镍与难溶性镍化合物、氮氧化物（一氧化氮和二氧化氮）、粉尘中游离二氧化硅含量。</w:t>
            </w:r>
            <w:r>
              <w:rPr>
                <w:rFonts w:hint="eastAsia"/>
                <w:lang w:val="en-US" w:eastAsia="zh-CN"/>
              </w:rPr>
              <w:t>经检测，1#矿热炉车间炉前工、2#矿热炉车间炉前工、3#矿热炉车间炉前工接触矽尘（总尘）的浓度超过职业接触限值要求，干燥窑车间、回转窑车间、矿热炉车间等部分岗位噪声强度超过职业接触限值要求，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4"/>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4"/>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建议该项目在工艺允许的情况下，</w:t>
            </w:r>
            <w:r>
              <w:rPr>
                <w:rFonts w:hint="eastAsia" w:ascii="Times New Roman" w:hAnsi="Times New Roman" w:cs="Times New Roman"/>
                <w:bCs/>
                <w:color w:val="auto"/>
                <w:szCs w:val="28"/>
                <w:lang w:eastAsia="zh-CN"/>
              </w:rPr>
              <w:t>在产噪声较大的设备设备设置</w:t>
            </w:r>
            <w:r>
              <w:rPr>
                <w:rFonts w:hint="eastAsia" w:ascii="Times New Roman" w:hAnsi="Times New Roman" w:cs="Times New Roman"/>
                <w:bCs/>
                <w:color w:val="auto"/>
                <w:szCs w:val="28"/>
                <w:lang w:val="en-US" w:eastAsia="zh-CN"/>
              </w:rPr>
              <w:t>有效吸声、消声等控制措施，并</w:t>
            </w:r>
            <w:r>
              <w:rPr>
                <w:rFonts w:hint="eastAsia" w:ascii="Times New Roman" w:hAnsi="Times New Roman" w:cs="Times New Roman"/>
                <w:bCs/>
                <w:color w:val="auto"/>
                <w:szCs w:val="28"/>
              </w:rPr>
              <w:t>尽量采用远距离作业或巡检作业，减少作业时间；定期检修维护生产设备，及时更换易损坏的轴承等零部件，减少机械摩擦噪声；</w:t>
            </w:r>
            <w:r>
              <w:rPr>
                <w:rFonts w:hint="eastAsia" w:ascii="Times New Roman" w:hAnsi="Times New Roman" w:cs="Times New Roman"/>
                <w:bCs/>
                <w:color w:val="auto"/>
                <w:szCs w:val="28"/>
                <w:lang w:eastAsia="zh-CN"/>
              </w:rPr>
              <w:t>加强现场管理，</w:t>
            </w:r>
            <w:r>
              <w:rPr>
                <w:rFonts w:hint="eastAsia" w:ascii="Times New Roman" w:hAnsi="Times New Roman" w:cs="Times New Roman"/>
                <w:bCs/>
                <w:color w:val="auto"/>
                <w:szCs w:val="28"/>
              </w:rPr>
              <w:t>为噪声作业岗位配备合适的防噪耳塞或耳罩，并督促员工按要求正确佩戴。</w:t>
            </w:r>
            <w:r>
              <w:rPr>
                <w:rFonts w:hint="eastAsia"/>
              </w:rPr>
              <w:t>2）</w:t>
            </w:r>
            <w:r>
              <w:rPr>
                <w:rFonts w:hint="eastAsia"/>
                <w:color w:val="auto"/>
                <w:kern w:val="28"/>
                <w:lang w:val="en-US" w:eastAsia="zh-CN"/>
              </w:rPr>
              <w:t>建议该项目</w:t>
            </w:r>
            <w:r>
              <w:rPr>
                <w:rFonts w:hint="eastAsia"/>
                <w:color w:val="auto"/>
                <w:kern w:val="28"/>
              </w:rPr>
              <w:t>加强职业卫生防护设施的维修保养，保证局部排风量达到通风排毒的效果，做好检修记录并保存</w:t>
            </w:r>
            <w:r>
              <w:rPr>
                <w:rFonts w:hint="eastAsia"/>
                <w:color w:val="auto"/>
                <w:kern w:val="28"/>
                <w:lang w:eastAsia="zh-CN"/>
              </w:rPr>
              <w:t>。</w:t>
            </w:r>
            <w:r>
              <w:rPr>
                <w:rFonts w:hint="eastAsia"/>
                <w:color w:val="auto"/>
                <w:kern w:val="28"/>
                <w:lang w:val="en-US" w:eastAsia="zh-CN"/>
              </w:rPr>
              <w:t>3）建议该项目加强生产设备、输送管道的密闭性管理。4）建议该项目定期检查应急救援设施的有效期，及时更换，保证其有效性；定期进行应急预案演练和保存好相关的应急预案演练记录。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4"/>
              <w:bidi w:val="0"/>
              <w:rPr>
                <w:rFonts w:hint="eastAsia"/>
                <w:lang w:eastAsia="zh-CN"/>
              </w:rPr>
            </w:pPr>
            <w:r>
              <w:rPr>
                <w:rFonts w:hint="eastAsia"/>
              </w:rPr>
              <w:t>1）</w:t>
            </w:r>
            <w:r>
              <w:rPr>
                <w:rFonts w:hint="eastAsia"/>
                <w:lang w:val="en-US" w:eastAsia="zh-CN"/>
              </w:rPr>
              <w:t>补充完善对策建议措施的相关内容</w:t>
            </w:r>
            <w:r>
              <w:rPr>
                <w:rFonts w:hint="eastAsia"/>
              </w:rPr>
              <w:t>；2）</w:t>
            </w:r>
            <w:r>
              <w:rPr>
                <w:rFonts w:hint="eastAsia"/>
                <w:lang w:val="en-US" w:eastAsia="zh-CN"/>
              </w:rPr>
              <w:t>补充完善职业病危害因素的分析与识别内容</w:t>
            </w:r>
            <w:r>
              <w:rPr>
                <w:rFonts w:hint="eastAsia"/>
                <w:lang w:eastAsia="zh-CN"/>
              </w:rPr>
              <w:t>；</w:t>
            </w:r>
            <w:r>
              <w:rPr>
                <w:rFonts w:hint="eastAsia"/>
                <w:lang w:val="en-US" w:eastAsia="zh-CN"/>
              </w:rPr>
              <w:t>3）完善原辅料的分析内容；4）</w:t>
            </w:r>
            <w:bookmarkStart w:id="2" w:name="_GoBack"/>
            <w:bookmarkEnd w:id="2"/>
            <w:r>
              <w:rPr>
                <w:rFonts w:hint="eastAsia"/>
              </w:rPr>
              <w:t>专家提出的其他个人意见</w:t>
            </w:r>
            <w:r>
              <w:rPr>
                <w:rFonts w:hint="eastAsia"/>
                <w:lang w:eastAsia="zh-CN"/>
              </w:rPr>
              <w:t>；</w:t>
            </w:r>
          </w:p>
          <w:p>
            <w:pPr>
              <w:pStyle w:val="24"/>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8A7178C"/>
    <w:rsid w:val="095C7B4D"/>
    <w:rsid w:val="0B205097"/>
    <w:rsid w:val="0CE95B9C"/>
    <w:rsid w:val="0DE62C9D"/>
    <w:rsid w:val="0EA164EF"/>
    <w:rsid w:val="0FA933C0"/>
    <w:rsid w:val="10B4026F"/>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86A50DB"/>
    <w:rsid w:val="4D1A2C2C"/>
    <w:rsid w:val="4D714816"/>
    <w:rsid w:val="4E9D1D67"/>
    <w:rsid w:val="4F1162B1"/>
    <w:rsid w:val="4F626B0C"/>
    <w:rsid w:val="50642410"/>
    <w:rsid w:val="51A57D4C"/>
    <w:rsid w:val="577371DA"/>
    <w:rsid w:val="58580AAD"/>
    <w:rsid w:val="608C39E9"/>
    <w:rsid w:val="630B728A"/>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9"/>
    <w:semiHidden/>
    <w:unhideWhenUsed/>
    <w:qFormat/>
    <w:uiPriority w:val="99"/>
    <w:pPr>
      <w:jc w:val="left"/>
    </w:pPr>
  </w:style>
  <w:style w:type="paragraph" w:styleId="6">
    <w:name w:val="Body Text Indent"/>
    <w:qFormat/>
    <w:uiPriority w:val="99"/>
    <w:pPr>
      <w:spacing w:line="490" w:lineRule="exact"/>
      <w:ind w:firstLine="200" w:firstLineChars="200"/>
    </w:pPr>
    <w:rPr>
      <w:rFonts w:ascii="Times New Roman" w:hAnsi="Times New Roman" w:eastAsia="仿宋_GB2312" w:cs="Times New Roman"/>
      <w:sz w:val="28"/>
      <w:lang w:val="en-US"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qFormat/>
    <w:uiPriority w:val="99"/>
    <w:rPr>
      <w:sz w:val="18"/>
      <w:szCs w:val="18"/>
    </w:rPr>
  </w:style>
  <w:style w:type="paragraph" w:customStyle="1" w:styleId="22">
    <w:name w:val="表格内容居中"/>
    <w:basedOn w:val="1"/>
    <w:link w:val="25"/>
    <w:qFormat/>
    <w:uiPriority w:val="0"/>
    <w:pPr>
      <w:spacing w:line="340" w:lineRule="exact"/>
      <w:jc w:val="center"/>
    </w:pPr>
    <w:rPr>
      <w:rFonts w:hint="eastAsia" w:ascii="仿宋" w:hAnsi="仿宋" w:eastAsia="仿宋" w:cs="Times New Roman"/>
      <w:szCs w:val="21"/>
    </w:rPr>
  </w:style>
  <w:style w:type="paragraph" w:customStyle="1" w:styleId="23">
    <w:name w:val="表格内容靠左"/>
    <w:basedOn w:val="1"/>
    <w:link w:val="26"/>
    <w:qFormat/>
    <w:uiPriority w:val="0"/>
    <w:pPr>
      <w:spacing w:line="340" w:lineRule="exact"/>
      <w:jc w:val="left"/>
    </w:pPr>
    <w:rPr>
      <w:rFonts w:hint="eastAsia" w:ascii="仿宋" w:hAnsi="仿宋" w:eastAsia="仿宋" w:cs="Times New Roman"/>
      <w:szCs w:val="21"/>
    </w:rPr>
  </w:style>
  <w:style w:type="paragraph" w:customStyle="1" w:styleId="24">
    <w:name w:val="段落"/>
    <w:basedOn w:val="1"/>
    <w:link w:val="27"/>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5">
    <w:name w:val="表格内容居中 Char"/>
    <w:link w:val="22"/>
    <w:qFormat/>
    <w:uiPriority w:val="0"/>
    <w:rPr>
      <w:rFonts w:hint="eastAsia" w:ascii="仿宋" w:hAnsi="仿宋" w:eastAsia="仿宋" w:cs="Times New Roman"/>
      <w:szCs w:val="21"/>
    </w:rPr>
  </w:style>
  <w:style w:type="character" w:customStyle="1" w:styleId="26">
    <w:name w:val="表格内容靠左 Char"/>
    <w:link w:val="23"/>
    <w:qFormat/>
    <w:uiPriority w:val="0"/>
    <w:rPr>
      <w:rFonts w:hint="eastAsia" w:ascii="仿宋" w:hAnsi="仿宋" w:eastAsia="仿宋" w:cs="Times New Roman"/>
      <w:szCs w:val="21"/>
    </w:rPr>
  </w:style>
  <w:style w:type="character" w:customStyle="1" w:styleId="27">
    <w:name w:val="段落 Char"/>
    <w:link w:val="24"/>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1149</Words>
  <Characters>1195</Characters>
  <Lines>9</Lines>
  <Paragraphs>2</Paragraphs>
  <TotalTime>3</TotalTime>
  <ScaleCrop>false</ScaleCrop>
  <LinksUpToDate>false</LinksUpToDate>
  <CharactersWithSpaces>1214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2023-05-23T02:29:33Z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9B9E465A05F045E6A17609F13483736F_13</vt:lpwstr>
  </property>
</Properties>
</file>