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珠海旭光新材料有限公司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珠海旭光新材料有限公司研发楼水性涂料生产线扩建项目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珠海市金湾区三灶镇琴石工业区安基东路536号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rPr>
                <w:rFonts w:hint="eastAsia"/>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7" w:type="pct"/>
            <w:gridSpan w:val="5"/>
            <w:tcBorders>
              <w:top w:val="single" w:color="auto" w:sz="4" w:space="0"/>
              <w:left w:val="single" w:color="auto" w:sz="4" w:space="0"/>
              <w:bottom w:val="single" w:color="auto" w:sz="4" w:space="0"/>
            </w:tcBorders>
            <w:vAlign w:val="center"/>
          </w:tcPr>
          <w:p>
            <w:pPr>
              <w:pStyle w:val="19"/>
              <w:bidi w:val="0"/>
              <w:rPr>
                <w:rFonts w:hint="eastAsia" w:eastAsia="仿宋"/>
                <w:vertAlign w:val="baseline"/>
                <w:lang w:val="en-US" w:eastAsia="zh-CN"/>
              </w:rPr>
            </w:pPr>
            <w:r>
              <w:rPr>
                <w:rFonts w:hint="eastAsia"/>
              </w:rPr>
              <w:t>项目投资200万元，将研发楼1</w:t>
            </w:r>
            <w:r>
              <w:t>F</w:t>
            </w:r>
            <w:r>
              <w:rPr>
                <w:rFonts w:hint="eastAsia"/>
              </w:rPr>
              <w:t>喷涂房改造为水性涂料车间，</w:t>
            </w:r>
            <w:r>
              <w:rPr>
                <w:rFonts w:hint="eastAsia"/>
                <w:lang w:val="en-US" w:eastAsia="zh-CN"/>
              </w:rPr>
              <w:t>其中包含两条水性涂料生产线，</w:t>
            </w:r>
            <w:r>
              <w:rPr>
                <w:rFonts w:hint="eastAsia"/>
              </w:rPr>
              <w:t>主要生产无机硅陶瓷涂料，年产270吨无机硅陶瓷涂料</w:t>
            </w:r>
            <w:r>
              <w:rPr>
                <w:rFonts w:hint="eastAsia"/>
                <w:lang w:eastAsia="zh-CN"/>
              </w:rPr>
              <w:t>，</w:t>
            </w:r>
            <w:r>
              <w:rPr>
                <w:rFonts w:hint="eastAsia"/>
                <w:szCs w:val="28"/>
              </w:rPr>
              <w:t>供配电、给排水、供气、污水处理等公用工程依托现有项目</w:t>
            </w:r>
            <w:r>
              <w:rPr>
                <w:rFonts w:hint="eastAsia"/>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34" w:type="pct"/>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rPr>
            </w:pPr>
            <w:r>
              <w:rPr>
                <w:rFonts w:hint="eastAsia"/>
                <w:lang w:val="en-US" w:eastAsia="zh-CN"/>
              </w:rPr>
              <w:t>饶望冬、文明</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1.12.09</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34" w:type="pct"/>
            <w:tcBorders>
              <w:top w:val="single" w:color="auto" w:sz="4" w:space="0"/>
              <w:left w:val="single" w:color="auto" w:sz="4" w:space="0"/>
              <w:bottom w:val="single" w:color="auto" w:sz="4" w:space="0"/>
            </w:tcBorders>
            <w:vAlign w:val="center"/>
          </w:tcPr>
          <w:p>
            <w:pPr>
              <w:pStyle w:val="18"/>
              <w:bidi w:val="0"/>
              <w:rPr>
                <w:rFonts w:hint="eastAsia" w:ascii="仿宋" w:hAnsi="仿宋" w:eastAsia="仿宋" w:cs="Times New Roman"/>
                <w:szCs w:val="21"/>
                <w:lang w:eastAsia="zh-CN"/>
              </w:rPr>
            </w:pPr>
            <w:r>
              <w:t>钟智润</w:t>
            </w:r>
            <w:r>
              <w:rPr>
                <w:rFonts w:hint="eastAsia"/>
              </w:rPr>
              <w:t>、董颖林</w:t>
            </w:r>
            <w:r>
              <w:rPr>
                <w:rFonts w:hint="eastAsia"/>
                <w:lang w:eastAsia="zh-CN"/>
              </w:rPr>
              <w:t>、</w:t>
            </w:r>
            <w:r>
              <w:rPr>
                <w:rFonts w:hint="eastAsia"/>
              </w:rPr>
              <w:t>陈烁珍</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1.12.16</w:t>
            </w:r>
            <w:r>
              <w:rPr>
                <w:rFonts w:hint="eastAsia" w:ascii="仿宋" w:hAnsi="仿宋" w:eastAsia="仿宋" w:cs="Times New Roman"/>
                <w:szCs w:val="21"/>
              </w:rPr>
              <w:t>~</w:t>
            </w:r>
            <w:r>
              <w:rPr>
                <w:rFonts w:hint="eastAsia" w:ascii="仿宋" w:hAnsi="仿宋" w:eastAsia="仿宋" w:cs="Times New Roman"/>
                <w:szCs w:val="21"/>
                <w:lang w:val="en-US" w:eastAsia="zh-CN"/>
              </w:rPr>
              <w:t>18</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张先生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kern w:val="0"/>
              </w:rPr>
              <w:t>二氧化钛粉尘、甲醇</w:t>
            </w:r>
            <w:r>
              <w:rPr>
                <w:rFonts w:hint="eastAsia"/>
                <w:kern w:val="0"/>
              </w:rPr>
              <w:t>、噪声</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）加强化学品的选购管理，完善化学品的准入管理，尽量选用低毒、无毒的化学原料，不购买含苯、1，2-二氯乙烷、正己烷的化学原料</w:t>
            </w:r>
            <w:r>
              <w:t>。</w:t>
            </w:r>
            <w:r>
              <w:rPr>
                <w:rFonts w:hint="eastAsia"/>
              </w:rPr>
              <w:t>2）加强对职业病防护设施和应急救援设施的维护保养，保证其正常运行</w:t>
            </w:r>
            <w:r>
              <w:t>。</w:t>
            </w:r>
            <w:r>
              <w:rPr>
                <w:rFonts w:hint="eastAsia"/>
              </w:rPr>
              <w:t>3）建议该公司按照《职业卫生档案管理规范》（原安监总厅安健〔2013〕171号）的要求建立各类职业卫生档案，各类职业卫生管理资料应及时整理归档</w:t>
            </w:r>
            <w:r>
              <w:t>。</w:t>
            </w:r>
            <w:r>
              <w:rPr>
                <w:rFonts w:hint="eastAsia"/>
              </w:rPr>
              <w:t>4）</w:t>
            </w:r>
            <w:r>
              <w:t>建设项目</w:t>
            </w:r>
            <w:r>
              <w:rPr>
                <w:rFonts w:hint="eastAsia"/>
              </w:rPr>
              <w:t>在</w:t>
            </w:r>
            <w:r>
              <w:t>生产规模、工艺或者职业病危害因素的种类、防护设施等发生变更时，应当按照有关规定对变更内容重新进行职业病危害评价。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lang w:eastAsia="zh-CN"/>
              </w:rPr>
            </w:pPr>
            <w:r>
              <w:rPr>
                <w:rFonts w:hint="eastAsia"/>
              </w:rPr>
              <w:t>1）细化总平面布置及设备布置的内容；2）完善防尘毒设施的评价内容；3）专家提出的其他个人意见</w:t>
            </w:r>
            <w:r>
              <w:rPr>
                <w:rFonts w:hint="eastAsia"/>
                <w:lang w:eastAsia="zh-CN"/>
              </w:rPr>
              <w:t>；</w:t>
            </w:r>
            <w:bookmarkStart w:id="0" w:name="_GoBack"/>
            <w:bookmarkEnd w:id="0"/>
          </w:p>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76B3AA9"/>
    <w:rsid w:val="0DE62C9D"/>
    <w:rsid w:val="1AF71484"/>
    <w:rsid w:val="1C250273"/>
    <w:rsid w:val="2E0C3040"/>
    <w:rsid w:val="2EEA6615"/>
    <w:rsid w:val="3045283A"/>
    <w:rsid w:val="35FA1ACA"/>
    <w:rsid w:val="35FC399A"/>
    <w:rsid w:val="3793032E"/>
    <w:rsid w:val="3E79027E"/>
    <w:rsid w:val="406665E0"/>
    <w:rsid w:val="436C1B2E"/>
    <w:rsid w:val="50642410"/>
    <w:rsid w:val="577371DA"/>
    <w:rsid w:val="6A116D0D"/>
    <w:rsid w:val="6F89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排版正文 Char Char"/>
    <w:link w:val="13"/>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1050</Words>
  <Characters>1115</Characters>
  <Lines>9</Lines>
  <Paragraphs>2</Paragraphs>
  <TotalTime>1</TotalTime>
  <ScaleCrop>false</ScaleCrop>
  <LinksUpToDate>false</LinksUpToDate>
  <CharactersWithSpaces>1140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2023-05-10T02:40:19Z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6ACF9215144A4D348D51B0D4F25210D8_13</vt:lpwstr>
  </property>
</Properties>
</file>