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珠海康晋电气设备有限公司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珠海康晋电气设备有限公司厂房宿舍项目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szCs w:val="28"/>
              </w:rPr>
              <w:t>珠海市富山工业园雷蛛北片区七星大道南侧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hint="default" w:eastAsia="仿宋"/>
                <w:vertAlign w:val="baseline"/>
                <w:lang w:val="en-US" w:eastAsia="zh-CN"/>
              </w:rPr>
            </w:pPr>
            <w:r>
              <w:rPr>
                <w:rFonts w:hint="eastAsia"/>
                <w:szCs w:val="28"/>
              </w:rPr>
              <w:t>项目投资28847.33万元，实现年生产成套环网设备系列3000套，二次设备及配网自动化577单元，SF6充气柜系列10000单元，干燥空气绝缘开关柜238单元，断路器、负荷开关1000台，固体绝缘开关10000套，钣金配件20000套</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34" w:type="pct"/>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rPr>
            </w:pPr>
            <w:r>
              <w:rPr>
                <w:rFonts w:hint="eastAsia"/>
                <w:lang w:val="en-US" w:eastAsia="zh-CN"/>
              </w:rPr>
              <w:t>饶望冬、文明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1.4.08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34" w:type="pct"/>
            <w:tcBorders>
              <w:top w:val="single" w:color="auto" w:sz="4" w:space="0"/>
              <w:left w:val="single" w:color="auto" w:sz="4" w:space="0"/>
              <w:bottom w:val="single" w:color="auto" w:sz="4" w:space="0"/>
            </w:tcBorders>
            <w:vAlign w:val="center"/>
          </w:tcPr>
          <w:p>
            <w:pPr>
              <w:pStyle w:val="18"/>
              <w:bidi w:val="0"/>
              <w:rPr>
                <w:rFonts w:hint="eastAsia" w:ascii="仿宋" w:hAnsi="仿宋" w:eastAsia="仿宋" w:cs="Times New Roman"/>
                <w:szCs w:val="21"/>
                <w:lang w:eastAsia="zh-CN"/>
              </w:rPr>
            </w:pPr>
            <w:r>
              <w:rPr>
                <w:rFonts w:hint="eastAsia"/>
                <w:kern w:val="0"/>
                <w:szCs w:val="21"/>
              </w:rPr>
              <w:t>甄嘉城、凌光澎</w:t>
            </w:r>
            <w:r>
              <w:rPr>
                <w:rFonts w:hint="eastAsia"/>
                <w:kern w:val="0"/>
                <w:szCs w:val="21"/>
                <w:lang w:eastAsia="zh-CN"/>
              </w:rPr>
              <w:t>、</w:t>
            </w:r>
            <w:r>
              <w:rPr>
                <w:rFonts w:hint="eastAsia"/>
                <w:kern w:val="0"/>
                <w:szCs w:val="21"/>
              </w:rPr>
              <w:t>李锦潮</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1.4.15</w:t>
            </w:r>
            <w:r>
              <w:rPr>
                <w:rFonts w:hint="eastAsia" w:ascii="仿宋" w:hAnsi="仿宋" w:eastAsia="仿宋" w:cs="Times New Roman"/>
                <w:szCs w:val="21"/>
              </w:rPr>
              <w:t>~</w:t>
            </w:r>
            <w:r>
              <w:rPr>
                <w:rFonts w:hint="eastAsia" w:ascii="仿宋" w:hAnsi="仿宋" w:eastAsia="仿宋" w:cs="Times New Roman"/>
                <w:szCs w:val="21"/>
                <w:lang w:val="en-US" w:eastAsia="zh-CN"/>
              </w:rPr>
              <w:t>17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rPr>
              <w:t>苯、甲苯、二甲苯、乙苯、1,2-二氯乙烷、三氯甲烷、丙酮、乙酸乙酯、氮氧化合物（一氧化氮和二氧化氮）、锰及其化合物、臭氧、六氟化硫、二氯甲烷、四氯化碳、甲醇、甲醛、砂轮磨尘、电焊烟尘、其他粉尘</w:t>
            </w:r>
            <w:r>
              <w:rPr>
                <w:rFonts w:hint="eastAsia"/>
                <w:lang w:eastAsia="zh-CN"/>
              </w:rPr>
              <w:t>、</w:t>
            </w:r>
            <w:r>
              <w:rPr>
                <w:rFonts w:hint="eastAsia"/>
              </w:rPr>
              <w:t>噪声、工频电磁场、激光、紫外线、高温、振动</w:t>
            </w:r>
            <w:r>
              <w:rPr>
                <w:rFonts w:hint="eastAsia"/>
                <w:lang w:val="en-US" w:eastAsia="zh-CN"/>
              </w:rPr>
              <w:t>。经检测，</w:t>
            </w:r>
            <w:r>
              <w:rPr>
                <w:rFonts w:hint="eastAsia"/>
              </w:rPr>
              <w:t>除了2#厂房2F 固体柜车间 装配工、2#厂房2F 固体柜车间 磨合工、3#厂房1F 钣金车间 打磨工噪声强度超过接触限值外</w:t>
            </w:r>
            <w:r>
              <w:rPr>
                <w:rFonts w:hint="eastAsia"/>
                <w:lang w:eastAsia="zh-CN"/>
              </w:rPr>
              <w:t>，</w:t>
            </w:r>
            <w:r>
              <w:rPr>
                <w:rFonts w:hint="eastAsia"/>
                <w:lang w:val="en-US" w:eastAsia="zh-CN"/>
              </w:rPr>
              <w:t>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）加强化学品的选购管理，完善化学品的准入管理，选用低毒、无毒的化学原料，不购买含苯、1，2-二氯乙烷、正己烷的化学原料</w:t>
            </w:r>
            <w:r>
              <w:t>。</w:t>
            </w:r>
            <w:r>
              <w:rPr>
                <w:rFonts w:hint="eastAsia"/>
              </w:rPr>
              <w:t>2）定期对职业病防护设施、通风设施和应急救援设施进行检查维护，保证其正常运行</w:t>
            </w:r>
            <w:r>
              <w:t>。</w:t>
            </w:r>
            <w:r>
              <w:rPr>
                <w:rFonts w:hint="eastAsia"/>
              </w:rPr>
              <w:t>3）针对装配等使用气枪的岗位，由于气枪使用时长短，虽8</w:t>
            </w:r>
            <w:r>
              <w:t>h等效声级</w:t>
            </w:r>
            <w:r>
              <w:rPr>
                <w:rFonts w:hint="eastAsia"/>
              </w:rPr>
              <w:t>未达到8</w:t>
            </w:r>
            <w:r>
              <w:t>0[dB（A</w:t>
            </w:r>
            <w:r>
              <w:rPr>
                <w:rFonts w:hint="eastAsia"/>
              </w:rPr>
              <w:t>）</w:t>
            </w:r>
            <w:r>
              <w:t>]</w:t>
            </w:r>
            <w:r>
              <w:rPr>
                <w:rFonts w:hint="eastAsia"/>
              </w:rPr>
              <w:t>，但使用气枪时会产生较大的噪声，建议加强作业人员个人防护用品佩戴管理，</w:t>
            </w:r>
            <w:r>
              <w:rPr>
                <w:rFonts w:hint="eastAsia"/>
                <w:kern w:val="28"/>
              </w:rPr>
              <w:t>建议装配作业人员在使用气枪的时候佩戴好防噪耳塞，并定期组织装配工针对噪声进行职业健康检查</w:t>
            </w:r>
            <w:r>
              <w:t>。</w:t>
            </w:r>
            <w:r>
              <w:rPr>
                <w:rFonts w:hint="eastAsia"/>
              </w:rPr>
              <w:t>4）</w:t>
            </w:r>
            <w:r>
              <w:t>设项目</w:t>
            </w:r>
            <w:r>
              <w:rPr>
                <w:rFonts w:hint="eastAsia"/>
              </w:rPr>
              <w:t>在</w:t>
            </w:r>
            <w:r>
              <w:t>生产规模、工艺或者职业病危害因素的种类、防护设施等发生变更时，应当按照有关规定对变更内容重新进行职业病危害评价。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eastAsia="仿宋"/>
                <w:lang w:eastAsia="zh-CN"/>
              </w:rPr>
            </w:pPr>
            <w:r>
              <w:rPr>
                <w:rFonts w:hint="eastAsia"/>
              </w:rPr>
              <w:t>1）进一步细化职业病危害因素识别、分析与评价；2）完善应急救援风险分析及应急救援评价；3）专家提出的其他个人意见</w:t>
            </w:r>
            <w:r>
              <w:rPr>
                <w:rFonts w:hint="eastAsia"/>
                <w:lang w:eastAsia="zh-CN"/>
              </w:rPr>
              <w:t>；</w:t>
            </w:r>
            <w:bookmarkStart w:id="0" w:name="_GoBack"/>
            <w:bookmarkEnd w:id="0"/>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6B3AA9"/>
    <w:rsid w:val="0DE62C9D"/>
    <w:rsid w:val="1AF71484"/>
    <w:rsid w:val="1C250273"/>
    <w:rsid w:val="2EEA6615"/>
    <w:rsid w:val="3045283A"/>
    <w:rsid w:val="35FA1ACA"/>
    <w:rsid w:val="35FC399A"/>
    <w:rsid w:val="3793032E"/>
    <w:rsid w:val="406665E0"/>
    <w:rsid w:val="50642410"/>
    <w:rsid w:val="577371DA"/>
    <w:rsid w:val="6A116D0D"/>
    <w:rsid w:val="6F89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排版正文 Char Char"/>
    <w:link w:val="13"/>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896</Words>
  <Characters>932</Characters>
  <Lines>9</Lines>
  <Paragraphs>2</Paragraphs>
  <TotalTime>1</TotalTime>
  <ScaleCrop>false</ScaleCrop>
  <LinksUpToDate>false</LinksUpToDate>
  <CharactersWithSpaces>956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2023-05-10T02:28:35Z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C342EA7EEAAD483EB6A51F391645FBC2_13</vt:lpwstr>
  </property>
</Properties>
</file>