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玛氏箭牌糖果（中国）有限公司永和分公司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玛氏箭牌糖果（中国）有限公司永和分公司Project May项目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广州经济技术开发区永和经济区永岗路8号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方先生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rPr>
                <w:rFonts w:hint="eastAsia"/>
              </w:rPr>
              <w:t>项目投资1300万美元，对车间进行改造，并增加设备用于有糖口香糖的生产与包装，实现年产</w:t>
            </w:r>
            <w:r>
              <w:t>5000</w:t>
            </w:r>
            <w:r>
              <w:rPr>
                <w:rFonts w:hint="eastAsia"/>
              </w:rPr>
              <w:t>吨有糖口香糖产品，该项目具体改造内容如下：该项目在砂糖区增加一台电动葫芦用于白砂糖投料，在泡泡糖车间2</w:t>
            </w:r>
            <w:r>
              <w:t>F</w:t>
            </w:r>
            <w:r>
              <w:rPr>
                <w:rFonts w:hint="eastAsia"/>
              </w:rPr>
              <w:t>增加一台磨糖机，3</w:t>
            </w:r>
            <w:r>
              <w:t>F</w:t>
            </w:r>
            <w:r>
              <w:rPr>
                <w:rFonts w:hint="eastAsia"/>
              </w:rPr>
              <w:t>增加一个白砂糖罐，在口香糖车间小包装区东侧增加小包装机，口香糖车间新增中包装机及大包装机，在瓶装线区域新增口香糖瓶装线，并将包材仓库改造成集中码垛区。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34" w:type="pct"/>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rPr>
            </w:pPr>
            <w:r>
              <w:rPr>
                <w:rFonts w:hint="eastAsia"/>
                <w:lang w:val="en-US" w:eastAsia="zh-CN"/>
              </w:rPr>
              <w:t>饶望冬、文明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2.1.05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方先生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34" w:type="pct"/>
            <w:tcBorders>
              <w:top w:val="single" w:color="auto" w:sz="4" w:space="0"/>
              <w:left w:val="single" w:color="auto" w:sz="4" w:space="0"/>
              <w:bottom w:val="single" w:color="auto" w:sz="4" w:space="0"/>
            </w:tcBorders>
            <w:vAlign w:val="center"/>
          </w:tcPr>
          <w:p>
            <w:pPr>
              <w:pStyle w:val="18"/>
              <w:bidi w:val="0"/>
              <w:rPr>
                <w:rFonts w:hint="eastAsia" w:ascii="仿宋" w:hAnsi="仿宋" w:eastAsia="仿宋" w:cs="Times New Roman"/>
                <w:szCs w:val="21"/>
                <w:lang w:eastAsia="zh-CN"/>
              </w:rPr>
            </w:pPr>
            <w:r>
              <w:rPr>
                <w:rFonts w:hint="eastAsia"/>
              </w:rPr>
              <w:t>陈锦贤、魏和玉</w:t>
            </w:r>
            <w:r>
              <w:rPr>
                <w:rFonts w:hint="eastAsia"/>
                <w:lang w:eastAsia="zh-CN"/>
              </w:rPr>
              <w:t>、</w:t>
            </w:r>
            <w:r>
              <w:rPr>
                <w:rFonts w:hint="eastAsia"/>
              </w:rPr>
              <w:t>邱汉聪</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2.1.18</w:t>
            </w:r>
            <w:r>
              <w:rPr>
                <w:rFonts w:hint="eastAsia" w:ascii="仿宋" w:hAnsi="仿宋" w:eastAsia="仿宋" w:cs="Times New Roman"/>
                <w:szCs w:val="21"/>
              </w:rPr>
              <w:t>~</w:t>
            </w:r>
            <w:r>
              <w:rPr>
                <w:rFonts w:hint="eastAsia" w:ascii="仿宋" w:hAnsi="仿宋" w:eastAsia="仿宋" w:cs="Times New Roman"/>
                <w:szCs w:val="21"/>
                <w:lang w:val="en-US" w:eastAsia="zh-CN"/>
              </w:rPr>
              <w:t>20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方先生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kern w:val="0"/>
              </w:rPr>
              <w:t>滑石粉尘</w:t>
            </w:r>
            <w:r>
              <w:rPr>
                <w:rFonts w:hint="eastAsia"/>
                <w:kern w:val="0"/>
              </w:rPr>
              <w:t>、粉尘中游离二氧化硅含量</w:t>
            </w:r>
            <w:r>
              <w:rPr>
                <w:rFonts w:hint="eastAsia"/>
                <w:kern w:val="0"/>
                <w:lang w:eastAsia="zh-CN"/>
              </w:rPr>
              <w:t>、</w:t>
            </w:r>
            <w:r>
              <w:rPr>
                <w:rFonts w:hint="eastAsia"/>
              </w:rPr>
              <w:t>噪声</w:t>
            </w:r>
            <w:r>
              <w:rPr>
                <w:rFonts w:hint="eastAsia"/>
                <w:lang w:val="en-US" w:eastAsia="zh-CN"/>
              </w:rPr>
              <w:t>。经检测，</w:t>
            </w:r>
            <w:r>
              <w:rPr>
                <w:rFonts w:hint="eastAsia"/>
              </w:rPr>
              <w:t>除了口香糖车间小包装区小包装工、机修工噪声强度检测结果超过接触限值外</w:t>
            </w:r>
            <w:r>
              <w:rPr>
                <w:rFonts w:hint="eastAsia"/>
                <w:lang w:eastAsia="zh-CN"/>
              </w:rPr>
              <w:t>，</w:t>
            </w:r>
            <w:r>
              <w:rPr>
                <w:rFonts w:hint="eastAsia"/>
                <w:lang w:val="en-US" w:eastAsia="zh-CN"/>
              </w:rPr>
              <w:t>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rPr>
                <w:rFonts w:hint="eastAsia"/>
                <w:kern w:val="28"/>
              </w:rPr>
              <w:t>应持续改进防噪措施，并加强设备的</w:t>
            </w:r>
            <w:r>
              <w:t>日常巡检与维护，</w:t>
            </w:r>
            <w:r>
              <w:rPr>
                <w:rFonts w:hint="eastAsia"/>
              </w:rPr>
              <w:t>防止因设备老化导致设备运行产生的噪声强度变大</w:t>
            </w:r>
            <w:r>
              <w:t>。</w:t>
            </w:r>
            <w:r>
              <w:rPr>
                <w:rFonts w:hint="eastAsia"/>
              </w:rPr>
              <w:t>2）</w:t>
            </w:r>
            <w:r>
              <w:rPr>
                <w:kern w:val="28"/>
              </w:rPr>
              <w:t>对从事接触职业病危害因素作业的劳动者，该公司应当按照</w:t>
            </w:r>
            <w:r>
              <w:rPr>
                <w:bCs/>
                <w:kern w:val="28"/>
              </w:rPr>
              <w:t>《用人单位职业健康监护监督管理办法》（</w:t>
            </w:r>
            <w:r>
              <w:rPr>
                <w:rFonts w:hint="eastAsia"/>
                <w:bCs/>
                <w:kern w:val="28"/>
              </w:rPr>
              <w:t>原</w:t>
            </w:r>
            <w:r>
              <w:rPr>
                <w:kern w:val="28"/>
              </w:rPr>
              <w:t>国家安全生产监督管理总局令第49号）、《职业健康监护技术规范》（GBZ188-2014）等有关规定完善岗前、在岗期间及离岗职业健康检查</w:t>
            </w:r>
            <w:r>
              <w:t>。</w:t>
            </w:r>
            <w:r>
              <w:rPr>
                <w:rFonts w:hint="eastAsia"/>
              </w:rPr>
              <w:t>3）</w:t>
            </w:r>
            <w:r>
              <w:rPr>
                <w:kern w:val="28"/>
              </w:rPr>
              <w:t>建设项目</w:t>
            </w:r>
            <w:r>
              <w:rPr>
                <w:rFonts w:hint="eastAsia"/>
                <w:kern w:val="28"/>
              </w:rPr>
              <w:t>在</w:t>
            </w:r>
            <w:r>
              <w:rPr>
                <w:kern w:val="28"/>
              </w:rPr>
              <w:t>生产规模、工艺或者职业病危害因素的种类、防护设施等发生变更时，应当按照有关规定对变更内容重新进行职业病危害评价</w:t>
            </w:r>
            <w:r>
              <w:t>。</w:t>
            </w:r>
            <w:r>
              <w:rPr>
                <w:rFonts w:hint="eastAsia"/>
              </w:rPr>
              <w:t>4）</w:t>
            </w:r>
            <w:r>
              <w:rPr>
                <w:kern w:val="28"/>
              </w:rPr>
              <w:t>企业应按照《职业卫生档案管理规范》（</w:t>
            </w:r>
            <w:r>
              <w:rPr>
                <w:rFonts w:hint="eastAsia"/>
                <w:kern w:val="28"/>
              </w:rPr>
              <w:t>原</w:t>
            </w:r>
            <w:r>
              <w:rPr>
                <w:kern w:val="28"/>
              </w:rPr>
              <w:t>安监总厅安健〔2013〕171号）的要求</w:t>
            </w:r>
            <w:r>
              <w:rPr>
                <w:rFonts w:hint="eastAsia"/>
                <w:kern w:val="28"/>
              </w:rPr>
              <w:t>建立各类</w:t>
            </w:r>
            <w:r>
              <w:rPr>
                <w:kern w:val="28"/>
              </w:rPr>
              <w:t>职业卫生档案，各类职业卫生管理资料应及时整理归档</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Fonts w:hint="eastAsia"/>
              </w:rPr>
              <w:t>1）进一步细化生产设备消毒杀菌的内容；2）明确个人防护用品和应急救援为利旧；3）专家提出的其他个人意见</w:t>
            </w:r>
            <w:r>
              <w:rPr>
                <w:rFonts w:hint="eastAsia"/>
                <w:lang w:eastAsia="zh-CN"/>
              </w:rPr>
              <w:t>；</w:t>
            </w:r>
          </w:p>
          <w:p>
            <w:pPr>
              <w:pStyle w:val="20"/>
              <w:bidi w:val="0"/>
              <w:rPr>
                <w:rFonts w:ascii="仿宋" w:hAnsi="仿宋" w:eastAsia="仿宋" w:cs="Times New Roman"/>
                <w:szCs w:val="21"/>
              </w:rPr>
            </w:pPr>
            <w:r>
              <w:rPr>
                <w:rFonts w:hint="eastAsia"/>
              </w:rPr>
              <w:t>专家组同意修改后通过《控</w:t>
            </w:r>
            <w:bookmarkStart w:id="0" w:name="_GoBack"/>
            <w:bookmarkEnd w:id="0"/>
            <w:r>
              <w:rPr>
                <w:rFonts w:hint="eastAsia"/>
              </w:rPr>
              <w:t>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6B3AA9"/>
    <w:rsid w:val="0DE62C9D"/>
    <w:rsid w:val="1AF71484"/>
    <w:rsid w:val="1C250273"/>
    <w:rsid w:val="2E0C3040"/>
    <w:rsid w:val="2EEA6615"/>
    <w:rsid w:val="3045283A"/>
    <w:rsid w:val="35FA1ACA"/>
    <w:rsid w:val="35FC399A"/>
    <w:rsid w:val="3793032E"/>
    <w:rsid w:val="3E79027E"/>
    <w:rsid w:val="406665E0"/>
    <w:rsid w:val="436C1B2E"/>
    <w:rsid w:val="50642410"/>
    <w:rsid w:val="51A57D4C"/>
    <w:rsid w:val="577371DA"/>
    <w:rsid w:val="6A116D0D"/>
    <w:rsid w:val="6F897E6A"/>
    <w:rsid w:val="7BC4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848</Words>
  <Characters>882</Characters>
  <Lines>9</Lines>
  <Paragraphs>2</Paragraphs>
  <TotalTime>0</TotalTime>
  <ScaleCrop>false</ScaleCrop>
  <LinksUpToDate>false</LinksUpToDate>
  <CharactersWithSpaces>901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2023-05-10T02:57:11Z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C826ABDC96224E978D4B781C068101AF_13</vt:lpwstr>
  </property>
</Properties>
</file>