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536"/>
        <w:gridCol w:w="1173"/>
        <w:gridCol w:w="1706"/>
        <w:gridCol w:w="891"/>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rPr>
              <w:t>广州珠江气体工业有限公司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rPr>
              <w:t>广州珠江气体工业有限公司建设项目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szCs w:val="28"/>
              </w:rPr>
              <w:t>广州经济技术开发区西基路9号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lang w:val="en-US" w:eastAsia="zh-CN"/>
              </w:rPr>
              <w:t>何先生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19"/>
              <w:bidi w:val="0"/>
              <w:rPr>
                <w:rFonts w:hint="eastAsia" w:eastAsia="仿宋"/>
                <w:vertAlign w:val="baseline"/>
                <w:lang w:val="en-US" w:eastAsia="zh-CN"/>
              </w:rPr>
            </w:pPr>
            <w:r>
              <w:t>项目</w:t>
            </w:r>
            <w:r>
              <w:rPr>
                <w:rFonts w:hint="eastAsia"/>
              </w:rPr>
              <w:t>注册资本为九千九百六十四万八千三百元，厂区总占地面积</w:t>
            </w:r>
            <w:r>
              <w:t>16542.7</w:t>
            </w:r>
            <w:r>
              <w:rPr>
                <w:rFonts w:hint="eastAsia"/>
              </w:rPr>
              <w:t>m</w:t>
            </w:r>
            <w:r>
              <w:t>2</w:t>
            </w:r>
            <w:r>
              <w:rPr>
                <w:rFonts w:hint="eastAsia"/>
              </w:rPr>
              <w:t>主要从事医用氧、液氧、液氮、液氩的充装</w:t>
            </w:r>
            <w:r>
              <w:rPr>
                <w:rFonts w:hint="eastAsia"/>
                <w:lang w:eastAsia="zh-CN"/>
              </w:rPr>
              <w:t>，</w:t>
            </w:r>
            <w:r>
              <w:rPr>
                <w:rFonts w:hint="eastAsia"/>
                <w:lang w:val="en-US" w:eastAsia="zh-CN"/>
              </w:rPr>
              <w:t>年产量为</w:t>
            </w:r>
            <w:r>
              <w:rPr>
                <w:rFonts w:hint="eastAsia"/>
              </w:rPr>
              <w:t>医用氧4</w:t>
            </w:r>
            <w:r>
              <w:t>000</w:t>
            </w:r>
            <w:r>
              <w:rPr>
                <w:rFonts w:hint="eastAsia"/>
                <w:lang w:val="en-US" w:eastAsia="zh-CN"/>
              </w:rPr>
              <w:t>t、</w:t>
            </w:r>
            <w:r>
              <w:rPr>
                <w:rFonts w:hint="eastAsia"/>
              </w:rPr>
              <w:t>液氧2</w:t>
            </w:r>
            <w:r>
              <w:t>50</w:t>
            </w:r>
            <w:r>
              <w:rPr>
                <w:rFonts w:hint="eastAsia"/>
                <w:lang w:val="en-US" w:eastAsia="zh-CN"/>
              </w:rPr>
              <w:t>t、</w:t>
            </w:r>
            <w:r>
              <w:rPr>
                <w:rFonts w:hint="eastAsia"/>
              </w:rPr>
              <w:t>液氮4</w:t>
            </w:r>
            <w:r>
              <w:t>00</w:t>
            </w:r>
            <w:r>
              <w:rPr>
                <w:rFonts w:hint="eastAsia"/>
                <w:lang w:val="en-US" w:eastAsia="zh-CN"/>
              </w:rPr>
              <w:t>t、</w:t>
            </w:r>
            <w:r>
              <w:rPr>
                <w:rFonts w:hint="eastAsia"/>
              </w:rPr>
              <w:t>液氩3</w:t>
            </w:r>
            <w:r>
              <w:t>00</w:t>
            </w:r>
            <w:r>
              <w:rPr>
                <w:rFonts w:hint="eastAsia"/>
                <w:lang w:val="en-US" w:eastAsia="zh-CN"/>
              </w:rPr>
              <w: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18"/>
              <w:bidi w:val="0"/>
              <w:rPr>
                <w:rFonts w:hint="default"/>
                <w:lang w:val="en-US"/>
              </w:rPr>
            </w:pPr>
            <w:r>
              <w:rPr>
                <w:rFonts w:hint="eastAsia"/>
                <w:lang w:val="en-US" w:eastAsia="zh-CN"/>
              </w:rPr>
              <w:t>饶望冬、文明</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调查时间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2.6.01</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rFonts w:hint="eastAsia"/>
                <w:lang w:val="en-US" w:eastAsia="zh-CN"/>
              </w:rPr>
              <w:t>何先生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18"/>
              <w:bidi w:val="0"/>
              <w:rPr>
                <w:rFonts w:hint="eastAsia"/>
                <w:lang w:eastAsia="zh-CN"/>
              </w:rPr>
            </w:pPr>
            <w:r>
              <w:rPr>
                <w:rFonts w:hint="eastAsia"/>
              </w:rPr>
              <w:t>彭定东、丁伦、陈锦贤</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检测时间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2.6.08</w:t>
            </w:r>
            <w:r>
              <w:rPr>
                <w:rFonts w:hint="eastAsia"/>
              </w:rPr>
              <w:t>~</w:t>
            </w:r>
            <w:r>
              <w:rPr>
                <w:rFonts w:hint="eastAsia"/>
                <w:lang w:val="en-US" w:eastAsia="zh-CN"/>
              </w:rPr>
              <w:t>10</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rFonts w:hint="eastAsia"/>
                <w:lang w:val="en-US" w:eastAsia="zh-CN"/>
              </w:rPr>
              <w:t>何先生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t>正庚烷、乙酸甲酯、正己烷、丁酮、壬烷、苯、甲苯</w:t>
            </w:r>
            <w:r>
              <w:rPr>
                <w:rFonts w:hint="eastAsia"/>
              </w:rPr>
              <w:t>、</w:t>
            </w:r>
            <w:r>
              <w:t>二甲苯、乙苯</w:t>
            </w:r>
            <w:r>
              <w:rPr>
                <w:rFonts w:hint="eastAsia"/>
              </w:rPr>
              <w:t>、砂轮磨尘、其他粉尘、</w:t>
            </w:r>
            <w:r>
              <w:t>噪声、振动、工频电</w:t>
            </w:r>
            <w:r>
              <w:rPr>
                <w:rFonts w:hint="eastAsia"/>
              </w:rPr>
              <w:t>磁</w:t>
            </w:r>
            <w:r>
              <w:t>场</w:t>
            </w:r>
            <w:r>
              <w:rPr>
                <w:rFonts w:hint="eastAsia"/>
                <w:lang w:eastAsia="zh-CN"/>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0"/>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w:t>
            </w:r>
            <w:r>
              <w:t>对从事接触职业病危害因素作业的劳动者，该公司应当按照《用人单位职业健康监护监督管理办法》（</w:t>
            </w:r>
            <w:r>
              <w:rPr>
                <w:rFonts w:hint="eastAsia"/>
              </w:rPr>
              <w:t>原</w:t>
            </w:r>
            <w:r>
              <w:t>国家安全生产监督管理总局令第49号）、《职业健康监护技术规范》（GBZ188-2014）等有关规定完善岗前、在岗期间及离岗职业健康检查。</w:t>
            </w:r>
            <w:r>
              <w:rPr>
                <w:rFonts w:hint="eastAsia"/>
              </w:rPr>
              <w:t>2）室外作业人员夏季易受环境高温影响，建议该公司制定合理的劳动休息制度，减少高温时段作业，增加休息时间，同时供给防暑降温清凉饮料等，并制定高温中暑现场处置方案，定期进行演练</w:t>
            </w:r>
            <w:r>
              <w:t>。</w:t>
            </w:r>
            <w:r>
              <w:rPr>
                <w:rFonts w:hint="eastAsia"/>
              </w:rPr>
              <w:t>3）</w:t>
            </w:r>
            <w:r>
              <w:t>建设项目</w:t>
            </w:r>
            <w:r>
              <w:rPr>
                <w:rFonts w:hint="eastAsia"/>
              </w:rPr>
              <w:t>在生产</w:t>
            </w:r>
            <w:r>
              <w:t>规模、工艺或者职业病危害因素的种类、防护设施等发生变更时，应当按照有关规定对变更内容重新进行职业病危害评价。</w:t>
            </w:r>
            <w:r>
              <w:rPr>
                <w:rFonts w:hint="eastAsia"/>
              </w:rPr>
              <w:t>4）</w:t>
            </w:r>
            <w:r>
              <w:t>企业应按照《职业卫生档案管理规范》（</w:t>
            </w:r>
            <w:r>
              <w:rPr>
                <w:rFonts w:hint="eastAsia"/>
              </w:rPr>
              <w:t>原</w:t>
            </w:r>
            <w:r>
              <w:t>安监总厅安健〔2013〕171号）的要求</w:t>
            </w:r>
            <w:r>
              <w:rPr>
                <w:rFonts w:hint="eastAsia"/>
              </w:rPr>
              <w:t>建立各类</w:t>
            </w:r>
            <w:r>
              <w:t>职业卫生档案，各类职业卫生管理资料应及时整理归档。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r>
              <w:rPr>
                <w:rFonts w:hint="eastAsia"/>
              </w:rPr>
              <w:t>1）</w:t>
            </w:r>
            <w:r>
              <w:rPr>
                <w:rFonts w:hint="eastAsia"/>
                <w:lang w:val="en-US" w:eastAsia="zh-CN"/>
              </w:rPr>
              <w:t>细化检验站的工程分析内容</w:t>
            </w:r>
            <w:r>
              <w:rPr>
                <w:rFonts w:hint="eastAsia"/>
              </w:rPr>
              <w:t>；2）</w:t>
            </w:r>
            <w:r>
              <w:rPr>
                <w:rFonts w:hint="eastAsia"/>
                <w:lang w:val="en-US" w:eastAsia="zh-CN"/>
              </w:rPr>
              <w:t>完善职业病防护设施合理性与有效性评价</w:t>
            </w:r>
            <w:r>
              <w:rPr>
                <w:rFonts w:hint="eastAsia"/>
                <w:lang w:eastAsia="zh-CN"/>
              </w:rPr>
              <w:t>；</w:t>
            </w:r>
            <w:r>
              <w:rPr>
                <w:rFonts w:hint="eastAsia"/>
                <w:lang w:val="en-US" w:eastAsia="zh-CN"/>
              </w:rPr>
              <w:t>3）细化卸车、充装作业人员的个人防护用品评价；4）</w:t>
            </w:r>
            <w:r>
              <w:rPr>
                <w:rFonts w:hint="eastAsia"/>
              </w:rPr>
              <w:t>专家提出的其他个人意见</w:t>
            </w:r>
            <w:r>
              <w:rPr>
                <w:rFonts w:hint="eastAsia"/>
                <w:lang w:eastAsia="zh-CN"/>
              </w:rPr>
              <w:t>；</w:t>
            </w:r>
            <w:bookmarkStart w:id="0" w:name="_GoBack"/>
            <w:bookmarkEnd w:id="0"/>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21282E"/>
    <w:rsid w:val="076B3AA9"/>
    <w:rsid w:val="0DE62C9D"/>
    <w:rsid w:val="0FA933C0"/>
    <w:rsid w:val="156D6C3E"/>
    <w:rsid w:val="1AF71484"/>
    <w:rsid w:val="1C250273"/>
    <w:rsid w:val="21676C37"/>
    <w:rsid w:val="23DA7B95"/>
    <w:rsid w:val="2A120388"/>
    <w:rsid w:val="2DD6761F"/>
    <w:rsid w:val="2E0C3040"/>
    <w:rsid w:val="2EEA6615"/>
    <w:rsid w:val="2F1C72B3"/>
    <w:rsid w:val="3045283A"/>
    <w:rsid w:val="31510E64"/>
    <w:rsid w:val="35FA1ACA"/>
    <w:rsid w:val="35FC399A"/>
    <w:rsid w:val="3793032E"/>
    <w:rsid w:val="3E79027E"/>
    <w:rsid w:val="406665E0"/>
    <w:rsid w:val="436C1B2E"/>
    <w:rsid w:val="472B2331"/>
    <w:rsid w:val="4D714816"/>
    <w:rsid w:val="50642410"/>
    <w:rsid w:val="51A57D4C"/>
    <w:rsid w:val="577371DA"/>
    <w:rsid w:val="58580AAD"/>
    <w:rsid w:val="63427A00"/>
    <w:rsid w:val="6A116D0D"/>
    <w:rsid w:val="6EBC193D"/>
    <w:rsid w:val="6F897E6A"/>
    <w:rsid w:val="70E46F2A"/>
    <w:rsid w:val="76397D18"/>
    <w:rsid w:val="791912D1"/>
    <w:rsid w:val="7A7E219D"/>
    <w:rsid w:val="7BC40083"/>
    <w:rsid w:val="7BEE3352"/>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897</Words>
  <Characters>940</Characters>
  <Lines>9</Lines>
  <Paragraphs>2</Paragraphs>
  <TotalTime>0</TotalTime>
  <ScaleCrop>false</ScaleCrop>
  <LinksUpToDate>false</LinksUpToDate>
  <CharactersWithSpaces>959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2023-05-10T03:35:54Z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98F20D5FE8624733BBA01C62A301EE19_13</vt:lpwstr>
  </property>
</Properties>
</file>