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522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696"/>
        <w:gridCol w:w="2536"/>
        <w:gridCol w:w="1173"/>
        <w:gridCol w:w="1706"/>
        <w:gridCol w:w="891"/>
        <w:gridCol w:w="89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53" w:type="pct"/>
            <w:tcBorders>
              <w:top w:val="single" w:color="auto" w:sz="4" w:space="0"/>
              <w:bottom w:val="single" w:color="auto" w:sz="4" w:space="0"/>
              <w:right w:val="single" w:color="auto" w:sz="4" w:space="0"/>
            </w:tcBorders>
            <w:vAlign w:val="center"/>
          </w:tcPr>
          <w:p>
            <w:pPr>
              <w:spacing w:line="340" w:lineRule="exact"/>
              <w:jc w:val="center"/>
              <w:rPr>
                <w:rFonts w:ascii="仿宋" w:hAnsi="仿宋" w:eastAsia="仿宋" w:cs="Times New Roman"/>
                <w:szCs w:val="21"/>
              </w:rPr>
            </w:pPr>
            <w:r>
              <w:rPr>
                <w:rFonts w:ascii="仿宋" w:hAnsi="仿宋" w:eastAsia="仿宋" w:cs="Times New Roman"/>
                <w:szCs w:val="21"/>
              </w:rPr>
              <w:t>建设单位</w:t>
            </w:r>
          </w:p>
        </w:tc>
        <w:tc>
          <w:tcPr>
            <w:tcW w:w="4046" w:type="pct"/>
            <w:gridSpan w:val="5"/>
            <w:tcBorders>
              <w:top w:val="single" w:color="auto" w:sz="4" w:space="0"/>
              <w:left w:val="single" w:color="auto" w:sz="4" w:space="0"/>
              <w:bottom w:val="single" w:color="auto" w:sz="4" w:space="0"/>
            </w:tcBorders>
            <w:vAlign w:val="center"/>
          </w:tcPr>
          <w:p>
            <w:pPr>
              <w:pStyle w:val="18"/>
              <w:bidi w:val="0"/>
              <w:rPr>
                <w:rFonts w:ascii="仿宋" w:hAnsi="仿宋" w:eastAsia="仿宋" w:cs="Times New Roman"/>
                <w:szCs w:val="21"/>
              </w:rPr>
            </w:pPr>
            <w:r>
              <w:rPr>
                <w:rFonts w:hint="eastAsia"/>
              </w:rPr>
              <w:t>广州珠钢码头有限公司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53" w:type="pct"/>
            <w:tcBorders>
              <w:top w:val="single" w:color="auto" w:sz="4" w:space="0"/>
              <w:bottom w:val="single" w:color="auto" w:sz="4" w:space="0"/>
              <w:right w:val="single" w:color="auto" w:sz="4" w:space="0"/>
            </w:tcBorders>
            <w:vAlign w:val="center"/>
          </w:tcPr>
          <w:p>
            <w:pPr>
              <w:spacing w:line="340" w:lineRule="exact"/>
              <w:jc w:val="center"/>
              <w:rPr>
                <w:rFonts w:ascii="仿宋" w:hAnsi="仿宋" w:eastAsia="仿宋" w:cs="Times New Roman"/>
                <w:szCs w:val="21"/>
              </w:rPr>
            </w:pPr>
            <w:r>
              <w:rPr>
                <w:rFonts w:ascii="仿宋" w:hAnsi="仿宋" w:eastAsia="仿宋" w:cs="Times New Roman"/>
                <w:szCs w:val="21"/>
              </w:rPr>
              <w:br w:type="page"/>
            </w:r>
            <w:r>
              <w:rPr>
                <w:rFonts w:ascii="仿宋" w:hAnsi="仿宋" w:eastAsia="仿宋" w:cs="Times New Roman"/>
                <w:szCs w:val="21"/>
              </w:rPr>
              <w:br w:type="page"/>
            </w:r>
            <w:r>
              <w:rPr>
                <w:rFonts w:ascii="仿宋" w:hAnsi="仿宋" w:eastAsia="仿宋" w:cs="Times New Roman"/>
                <w:szCs w:val="21"/>
              </w:rPr>
              <w:br w:type="page"/>
            </w:r>
            <w:r>
              <w:rPr>
                <w:rFonts w:ascii="仿宋" w:hAnsi="仿宋" w:eastAsia="仿宋" w:cs="Times New Roman"/>
                <w:szCs w:val="21"/>
              </w:rPr>
              <w:t>项目名称</w:t>
            </w:r>
          </w:p>
        </w:tc>
        <w:tc>
          <w:tcPr>
            <w:tcW w:w="4046" w:type="pct"/>
            <w:gridSpan w:val="5"/>
            <w:tcBorders>
              <w:top w:val="single" w:color="auto" w:sz="4" w:space="0"/>
              <w:left w:val="single" w:color="auto" w:sz="4" w:space="0"/>
              <w:bottom w:val="single" w:color="auto" w:sz="4" w:space="0"/>
            </w:tcBorders>
            <w:vAlign w:val="center"/>
          </w:tcPr>
          <w:p>
            <w:pPr>
              <w:pStyle w:val="18"/>
              <w:bidi w:val="0"/>
              <w:rPr>
                <w:rFonts w:ascii="仿宋" w:hAnsi="仿宋" w:eastAsia="仿宋" w:cs="Times New Roman"/>
                <w:szCs w:val="21"/>
              </w:rPr>
            </w:pPr>
            <w:r>
              <w:rPr>
                <w:rFonts w:hint="eastAsia"/>
              </w:rPr>
              <w:t>广州珠钢码头有限公司建设项目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53" w:type="pct"/>
            <w:tcBorders>
              <w:top w:val="single" w:color="auto" w:sz="4" w:space="0"/>
              <w:bottom w:val="single" w:color="auto" w:sz="4" w:space="0"/>
              <w:right w:val="single" w:color="auto" w:sz="4" w:space="0"/>
            </w:tcBorders>
            <w:vAlign w:val="center"/>
          </w:tcPr>
          <w:p>
            <w:pPr>
              <w:spacing w:line="340" w:lineRule="exact"/>
              <w:jc w:val="center"/>
              <w:rPr>
                <w:rFonts w:ascii="仿宋" w:hAnsi="仿宋" w:eastAsia="仿宋" w:cs="Times New Roman"/>
                <w:szCs w:val="21"/>
              </w:rPr>
            </w:pPr>
            <w:r>
              <w:rPr>
                <w:rFonts w:ascii="仿宋" w:hAnsi="仿宋" w:eastAsia="仿宋" w:cs="Times New Roman"/>
                <w:szCs w:val="21"/>
              </w:rPr>
              <w:t>项目地址</w:t>
            </w:r>
          </w:p>
        </w:tc>
        <w:tc>
          <w:tcPr>
            <w:tcW w:w="4046" w:type="pct"/>
            <w:gridSpan w:val="5"/>
            <w:tcBorders>
              <w:top w:val="single" w:color="auto" w:sz="4" w:space="0"/>
              <w:left w:val="single" w:color="auto" w:sz="4" w:space="0"/>
              <w:bottom w:val="single" w:color="auto" w:sz="4" w:space="0"/>
            </w:tcBorders>
            <w:vAlign w:val="center"/>
          </w:tcPr>
          <w:p>
            <w:pPr>
              <w:pStyle w:val="18"/>
              <w:bidi w:val="0"/>
              <w:rPr>
                <w:rFonts w:ascii="仿宋" w:hAnsi="仿宋" w:eastAsia="仿宋" w:cs="Times New Roman"/>
                <w:szCs w:val="21"/>
              </w:rPr>
            </w:pPr>
            <w:r>
              <w:rPr>
                <w:rFonts w:hint="eastAsia"/>
                <w:szCs w:val="28"/>
              </w:rPr>
              <w:t>广州经济技术开发区西基路9号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53" w:type="pct"/>
            <w:tcBorders>
              <w:top w:val="single" w:color="auto" w:sz="4" w:space="0"/>
              <w:bottom w:val="single" w:color="auto" w:sz="4" w:space="0"/>
              <w:right w:val="single" w:color="auto" w:sz="4" w:space="0"/>
            </w:tcBorders>
            <w:vAlign w:val="center"/>
          </w:tcPr>
          <w:p>
            <w:pPr>
              <w:spacing w:line="340" w:lineRule="exact"/>
              <w:jc w:val="center"/>
              <w:rPr>
                <w:rFonts w:ascii="仿宋" w:hAnsi="仿宋" w:eastAsia="仿宋" w:cs="Times New Roman"/>
                <w:szCs w:val="21"/>
              </w:rPr>
            </w:pPr>
            <w:r>
              <w:rPr>
                <w:rFonts w:ascii="仿宋" w:hAnsi="仿宋" w:eastAsia="仿宋" w:cs="Times New Roman"/>
                <w:szCs w:val="21"/>
              </w:rPr>
              <w:t>项目性质</w:t>
            </w:r>
          </w:p>
        </w:tc>
        <w:tc>
          <w:tcPr>
            <w:tcW w:w="4046" w:type="pct"/>
            <w:gridSpan w:val="5"/>
            <w:tcBorders>
              <w:top w:val="single" w:color="auto" w:sz="4" w:space="0"/>
              <w:left w:val="single" w:color="auto" w:sz="4" w:space="0"/>
              <w:bottom w:val="single" w:color="auto" w:sz="4" w:space="0"/>
            </w:tcBorders>
            <w:vAlign w:val="center"/>
          </w:tcPr>
          <w:p>
            <w:pPr>
              <w:spacing w:line="340" w:lineRule="exact"/>
              <w:jc w:val="center"/>
              <w:rPr>
                <w:rFonts w:ascii="仿宋" w:hAnsi="仿宋" w:eastAsia="仿宋" w:cs="Times New Roman"/>
                <w:szCs w:val="21"/>
              </w:rPr>
            </w:pPr>
            <w:r>
              <w:rPr>
                <w:rFonts w:hint="eastAsia" w:ascii="仿宋" w:hAnsi="仿宋" w:eastAsia="仿宋" w:cs="Times New Roman"/>
                <w:szCs w:val="21"/>
              </w:rPr>
              <w:t>现有企业</w:t>
            </w:r>
            <w:r>
              <w:rPr>
                <w:rFonts w:ascii="仿宋" w:hAnsi="仿宋" w:eastAsia="仿宋" w:cs="Times New Roman"/>
                <w:szCs w:val="21"/>
              </w:rPr>
              <w:t>□</w:t>
            </w:r>
            <w:r>
              <w:rPr>
                <w:rFonts w:hint="eastAsia" w:ascii="仿宋" w:hAnsi="仿宋" w:eastAsia="仿宋" w:cs="Times New Roman"/>
                <w:szCs w:val="21"/>
              </w:rPr>
              <w:t xml:space="preserve">  </w:t>
            </w:r>
            <w:r>
              <w:rPr>
                <w:rFonts w:ascii="仿宋" w:hAnsi="仿宋" w:eastAsia="仿宋" w:cs="Times New Roman"/>
                <w:szCs w:val="21"/>
              </w:rPr>
              <w:t>新建</w:t>
            </w:r>
            <w:r>
              <w:rPr>
                <w:rFonts w:ascii="仿宋" w:hAnsi="仿宋" w:eastAsia="仿宋" w:cs="Times New Roman"/>
                <w:szCs w:val="21"/>
              </w:rPr>
              <w:sym w:font="Wingdings 2" w:char="0052"/>
            </w:r>
            <w:r>
              <w:rPr>
                <w:rFonts w:ascii="仿宋" w:hAnsi="仿宋" w:eastAsia="仿宋" w:cs="Times New Roman"/>
                <w:szCs w:val="21"/>
              </w:rPr>
              <w:t xml:space="preserve"> </w:t>
            </w:r>
            <w:r>
              <w:rPr>
                <w:rFonts w:hint="eastAsia" w:ascii="仿宋" w:hAnsi="仿宋" w:eastAsia="仿宋" w:cs="Times New Roman"/>
                <w:szCs w:val="21"/>
              </w:rPr>
              <w:t xml:space="preserve"> </w:t>
            </w:r>
            <w:r>
              <w:rPr>
                <w:rFonts w:ascii="仿宋" w:hAnsi="仿宋" w:eastAsia="仿宋" w:cs="Times New Roman"/>
                <w:szCs w:val="21"/>
              </w:rPr>
              <w:t>改建</w:t>
            </w:r>
            <w:r>
              <w:rPr>
                <w:rFonts w:ascii="仿宋" w:hAnsi="仿宋" w:eastAsia="仿宋" w:cs="Times New Roman"/>
                <w:szCs w:val="21"/>
              </w:rPr>
              <w:sym w:font="Wingdings 2" w:char="00A3"/>
            </w:r>
            <w:r>
              <w:rPr>
                <w:rFonts w:ascii="仿宋" w:hAnsi="仿宋" w:eastAsia="仿宋" w:cs="Times New Roman"/>
                <w:szCs w:val="21"/>
              </w:rPr>
              <w:t xml:space="preserve"> </w:t>
            </w:r>
            <w:r>
              <w:rPr>
                <w:rFonts w:hint="eastAsia" w:ascii="仿宋" w:hAnsi="仿宋" w:eastAsia="仿宋" w:cs="Times New Roman"/>
                <w:szCs w:val="21"/>
              </w:rPr>
              <w:t xml:space="preserve"> </w:t>
            </w:r>
            <w:r>
              <w:rPr>
                <w:rFonts w:ascii="仿宋" w:hAnsi="仿宋" w:eastAsia="仿宋" w:cs="Times New Roman"/>
                <w:szCs w:val="21"/>
              </w:rPr>
              <w:t>扩建</w:t>
            </w:r>
            <w:r>
              <w:rPr>
                <w:rFonts w:ascii="仿宋" w:hAnsi="仿宋" w:eastAsia="仿宋" w:cs="Times New Roman"/>
                <w:szCs w:val="21"/>
              </w:rPr>
              <w:sym w:font="Wingdings 2" w:char="00A3"/>
            </w:r>
            <w:r>
              <w:rPr>
                <w:rFonts w:ascii="仿宋" w:hAnsi="仿宋" w:eastAsia="仿宋" w:cs="Times New Roman"/>
                <w:szCs w:val="21"/>
              </w:rPr>
              <w:t xml:space="preserve"> </w:t>
            </w:r>
            <w:r>
              <w:rPr>
                <w:rFonts w:hint="eastAsia" w:ascii="仿宋" w:hAnsi="仿宋" w:eastAsia="仿宋" w:cs="Times New Roman"/>
                <w:szCs w:val="21"/>
              </w:rPr>
              <w:t xml:space="preserve"> </w:t>
            </w:r>
            <w:r>
              <w:rPr>
                <w:rFonts w:ascii="仿宋" w:hAnsi="仿宋" w:eastAsia="仿宋" w:cs="Times New Roman"/>
                <w:szCs w:val="21"/>
              </w:rPr>
              <w:t>技术改造□</w:t>
            </w:r>
            <w:r>
              <w:rPr>
                <w:rFonts w:hint="eastAsia" w:ascii="仿宋" w:hAnsi="仿宋" w:eastAsia="仿宋" w:cs="Times New Roman"/>
                <w:szCs w:val="21"/>
              </w:rPr>
              <w:t xml:space="preserve">  </w:t>
            </w:r>
            <w:r>
              <w:rPr>
                <w:rFonts w:ascii="仿宋" w:hAnsi="仿宋" w:eastAsia="仿宋" w:cs="Times New Roman"/>
                <w:szCs w:val="21"/>
              </w:rPr>
              <w:t>技术引进□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53" w:type="pct"/>
            <w:tcBorders>
              <w:top w:val="single" w:color="auto" w:sz="4" w:space="0"/>
              <w:bottom w:val="single" w:color="auto" w:sz="4" w:space="0"/>
              <w:right w:val="single" w:color="auto" w:sz="4" w:space="0"/>
            </w:tcBorders>
            <w:vAlign w:val="center"/>
          </w:tcPr>
          <w:p>
            <w:pPr>
              <w:spacing w:line="340" w:lineRule="exact"/>
              <w:jc w:val="center"/>
              <w:rPr>
                <w:rFonts w:ascii="仿宋" w:hAnsi="仿宋" w:eastAsia="仿宋" w:cs="Times New Roman"/>
                <w:szCs w:val="21"/>
              </w:rPr>
            </w:pPr>
            <w:r>
              <w:rPr>
                <w:rFonts w:ascii="仿宋" w:hAnsi="仿宋" w:eastAsia="仿宋" w:cs="Times New Roman"/>
                <w:szCs w:val="21"/>
              </w:rPr>
              <w:t>项目</w:t>
            </w:r>
            <w:r>
              <w:rPr>
                <w:rFonts w:hint="eastAsia" w:ascii="仿宋" w:hAnsi="仿宋" w:eastAsia="仿宋" w:cs="Times New Roman"/>
                <w:szCs w:val="21"/>
              </w:rPr>
              <w:t>联系人</w:t>
            </w:r>
          </w:p>
        </w:tc>
        <w:tc>
          <w:tcPr>
            <w:tcW w:w="4046" w:type="pct"/>
            <w:gridSpan w:val="5"/>
            <w:tcBorders>
              <w:top w:val="single" w:color="auto" w:sz="4" w:space="0"/>
              <w:left w:val="single" w:color="auto" w:sz="4" w:space="0"/>
              <w:bottom w:val="single" w:color="auto" w:sz="4" w:space="0"/>
            </w:tcBorders>
            <w:vAlign w:val="center"/>
          </w:tcPr>
          <w:p>
            <w:pPr>
              <w:pStyle w:val="18"/>
              <w:bidi w:val="0"/>
              <w:rPr>
                <w:rFonts w:hint="default" w:ascii="仿宋" w:hAnsi="仿宋" w:eastAsia="仿宋" w:cs="Times New Roman"/>
                <w:szCs w:val="21"/>
                <w:lang w:val="en-US" w:eastAsia="zh-CN"/>
              </w:rPr>
            </w:pPr>
            <w:r>
              <w:rPr>
                <w:rFonts w:hint="eastAsia"/>
                <w:lang w:val="en-US" w:eastAsia="zh-CN"/>
              </w:rPr>
              <w:t>资先生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7" w:hRule="atLeast"/>
          <w:jc w:val="center"/>
        </w:trPr>
        <w:tc>
          <w:tcPr>
            <w:tcW w:w="953" w:type="pct"/>
            <w:tcBorders>
              <w:top w:val="single" w:color="auto" w:sz="4" w:space="0"/>
              <w:right w:val="single" w:color="auto" w:sz="4" w:space="0"/>
            </w:tcBorders>
            <w:vAlign w:val="center"/>
          </w:tcPr>
          <w:p>
            <w:pPr>
              <w:spacing w:line="340" w:lineRule="exact"/>
              <w:jc w:val="center"/>
              <w:rPr>
                <w:rFonts w:ascii="仿宋" w:hAnsi="仿宋" w:eastAsia="仿宋" w:cs="Times New Roman"/>
                <w:szCs w:val="21"/>
              </w:rPr>
            </w:pPr>
            <w:r>
              <w:rPr>
                <w:rFonts w:hint="eastAsia" w:ascii="仿宋" w:hAnsi="仿宋" w:eastAsia="仿宋" w:cs="Times New Roman"/>
                <w:szCs w:val="21"/>
              </w:rPr>
              <w:t>公示信息类别</w:t>
            </w:r>
          </w:p>
        </w:tc>
        <w:tc>
          <w:tcPr>
            <w:tcW w:w="4046" w:type="pct"/>
            <w:gridSpan w:val="5"/>
            <w:tcBorders>
              <w:top w:val="single" w:color="auto" w:sz="4" w:space="0"/>
              <w:left w:val="single" w:color="auto" w:sz="4" w:space="0"/>
              <w:bottom w:val="single" w:color="auto" w:sz="4" w:space="0"/>
            </w:tcBorders>
            <w:vAlign w:val="center"/>
          </w:tcPr>
          <w:p>
            <w:pPr>
              <w:spacing w:line="340" w:lineRule="exact"/>
              <w:jc w:val="center"/>
              <w:rPr>
                <w:rFonts w:ascii="仿宋" w:hAnsi="仿宋" w:eastAsia="仿宋" w:cs="Times New Roman"/>
                <w:szCs w:val="21"/>
              </w:rPr>
            </w:pPr>
            <w:r>
              <w:rPr>
                <w:rFonts w:hint="eastAsia" w:ascii="仿宋" w:hAnsi="仿宋" w:eastAsia="仿宋" w:cs="Times New Roman"/>
                <w:szCs w:val="21"/>
              </w:rPr>
              <w:t xml:space="preserve">职业病危害预评价□   职业病防护设施设计□   </w:t>
            </w:r>
          </w:p>
          <w:p>
            <w:pPr>
              <w:spacing w:line="340" w:lineRule="exact"/>
              <w:jc w:val="center"/>
              <w:rPr>
                <w:rFonts w:ascii="仿宋" w:hAnsi="仿宋" w:eastAsia="仿宋" w:cs="Times New Roman"/>
                <w:szCs w:val="21"/>
              </w:rPr>
            </w:pPr>
            <w:r>
              <w:rPr>
                <w:rFonts w:hint="eastAsia" w:ascii="仿宋" w:hAnsi="仿宋" w:eastAsia="仿宋" w:cs="Times New Roman"/>
                <w:szCs w:val="21"/>
              </w:rPr>
              <w:t>控制效果评价与职业病防护设施验收</w:t>
            </w:r>
            <w:r>
              <w:rPr>
                <w:rFonts w:ascii="仿宋" w:hAnsi="仿宋" w:eastAsia="仿宋" w:cs="Times New Roman"/>
                <w:szCs w:val="21"/>
              </w:rPr>
              <w:sym w:font="Wingdings 2" w:char="0052"/>
            </w:r>
            <w:r>
              <w:rPr>
                <w:rFonts w:hint="eastAsia" w:ascii="仿宋" w:hAnsi="仿宋" w:eastAsia="仿宋" w:cs="Times New Roman"/>
                <w:szCs w:val="21"/>
              </w:rPr>
              <w:t xml:space="preserve">   职业病危害现状评价□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53" w:type="pct"/>
            <w:tcBorders>
              <w:top w:val="single" w:color="auto" w:sz="4" w:space="0"/>
              <w:right w:val="single" w:color="auto" w:sz="4" w:space="0"/>
            </w:tcBorders>
            <w:vAlign w:val="center"/>
          </w:tcPr>
          <w:p>
            <w:pPr>
              <w:spacing w:line="340" w:lineRule="exact"/>
              <w:jc w:val="center"/>
              <w:rPr>
                <w:rFonts w:ascii="仿宋" w:hAnsi="仿宋" w:eastAsia="仿宋" w:cs="Times New Roman"/>
                <w:szCs w:val="21"/>
              </w:rPr>
            </w:pPr>
            <w:r>
              <w:rPr>
                <w:rFonts w:hint="eastAsia" w:ascii="仿宋" w:hAnsi="仿宋" w:eastAsia="仿宋" w:cs="Times New Roman"/>
                <w:szCs w:val="21"/>
              </w:rPr>
              <w:t>项目简介</w:t>
            </w:r>
          </w:p>
        </w:tc>
        <w:tc>
          <w:tcPr>
            <w:tcW w:w="4046" w:type="pct"/>
            <w:gridSpan w:val="5"/>
            <w:tcBorders>
              <w:top w:val="single" w:color="auto" w:sz="4" w:space="0"/>
              <w:left w:val="single" w:color="auto" w:sz="4" w:space="0"/>
              <w:bottom w:val="single" w:color="auto" w:sz="4" w:space="0"/>
            </w:tcBorders>
            <w:vAlign w:val="center"/>
          </w:tcPr>
          <w:p>
            <w:pPr>
              <w:pStyle w:val="19"/>
              <w:bidi w:val="0"/>
              <w:rPr>
                <w:rFonts w:hint="eastAsia" w:eastAsia="仿宋"/>
                <w:vertAlign w:val="baseline"/>
                <w:lang w:val="en-US" w:eastAsia="zh-CN"/>
              </w:rPr>
            </w:pPr>
            <w:r>
              <w:rPr>
                <w:rFonts w:hint="eastAsia"/>
              </w:rPr>
              <w:t>项目设置有两个</w:t>
            </w:r>
            <w:r>
              <w:t>5000</w:t>
            </w:r>
            <w:r>
              <w:rPr>
                <w:rFonts w:hint="eastAsia"/>
              </w:rPr>
              <w:t>吨级通用件杂货泊位，根据穗港局【2</w:t>
            </w:r>
            <w:r>
              <w:t>015</w:t>
            </w:r>
            <w:r>
              <w:rPr>
                <w:rFonts w:hint="eastAsia"/>
              </w:rPr>
              <w:t>】2</w:t>
            </w:r>
            <w:r>
              <w:t>2</w:t>
            </w:r>
            <w:r>
              <w:rPr>
                <w:rFonts w:hint="eastAsia"/>
              </w:rPr>
              <w:t>号文，同意码头按照核准的限定条件减载靠泊1万吨级散（杂）货船，码头长</w:t>
            </w:r>
            <w:r>
              <w:t>320</w:t>
            </w:r>
            <w:r>
              <w:rPr>
                <w:rFonts w:hint="eastAsia"/>
              </w:rPr>
              <w:t>m，堆场占地面积</w:t>
            </w:r>
            <w:r>
              <w:t>22048</w:t>
            </w:r>
            <w:r>
              <w:rPr>
                <w:rFonts w:hint="eastAsia"/>
              </w:rPr>
              <w:t>m</w:t>
            </w:r>
            <w:r>
              <w:rPr>
                <w:rFonts w:hint="eastAsia"/>
                <w:vertAlign w:val="superscript"/>
              </w:rPr>
              <w:t>2</w:t>
            </w:r>
            <w:r>
              <w:rPr>
                <w:rFonts w:hint="eastAsia"/>
              </w:rPr>
              <w:t>，主要进行螺纹钢、卷钢等钢材以及砂石装卸，钢材装卸量为</w:t>
            </w:r>
            <w:r>
              <w:t>350</w:t>
            </w:r>
            <w:r>
              <w:rPr>
                <w:rFonts w:hint="eastAsia"/>
              </w:rPr>
              <w:t>万吨/</w:t>
            </w:r>
            <w:r>
              <w:t>年</w:t>
            </w:r>
            <w:r>
              <w:rPr>
                <w:rFonts w:hint="eastAsia"/>
              </w:rPr>
              <w:t>，砂石装卸量为</w:t>
            </w:r>
            <w:r>
              <w:t>10</w:t>
            </w:r>
            <w:r>
              <w:rPr>
                <w:rFonts w:hint="eastAsia"/>
              </w:rPr>
              <w:t>万吨/</w:t>
            </w:r>
            <w:r>
              <w:t>年</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953" w:type="pct"/>
            <w:tcBorders>
              <w:top w:val="single" w:color="auto" w:sz="4" w:space="0"/>
              <w:right w:val="single" w:color="auto" w:sz="4" w:space="0"/>
            </w:tcBorders>
            <w:vAlign w:val="center"/>
          </w:tcPr>
          <w:p>
            <w:pPr>
              <w:spacing w:line="340" w:lineRule="exact"/>
              <w:jc w:val="center"/>
              <w:rPr>
                <w:rFonts w:ascii="仿宋" w:hAnsi="仿宋" w:eastAsia="仿宋" w:cs="Times New Roman"/>
                <w:szCs w:val="21"/>
              </w:rPr>
            </w:pPr>
            <w:r>
              <w:rPr>
                <w:rFonts w:hint="eastAsia" w:ascii="仿宋" w:hAnsi="仿宋" w:eastAsia="仿宋" w:cs="Times New Roman"/>
                <w:szCs w:val="21"/>
              </w:rPr>
              <w:t>现场调查人员</w:t>
            </w:r>
          </w:p>
        </w:tc>
        <w:tc>
          <w:tcPr>
            <w:tcW w:w="1425" w:type="pct"/>
            <w:tcBorders>
              <w:top w:val="single" w:color="auto" w:sz="4" w:space="0"/>
              <w:left w:val="single" w:color="auto" w:sz="4" w:space="0"/>
              <w:bottom w:val="single" w:color="auto" w:sz="4" w:space="0"/>
            </w:tcBorders>
            <w:vAlign w:val="center"/>
          </w:tcPr>
          <w:p>
            <w:pPr>
              <w:pStyle w:val="18"/>
              <w:bidi w:val="0"/>
              <w:rPr>
                <w:rFonts w:hint="default"/>
                <w:lang w:val="en-US"/>
              </w:rPr>
            </w:pPr>
            <w:r>
              <w:rPr>
                <w:rFonts w:hint="eastAsia"/>
                <w:lang w:val="en-US" w:eastAsia="zh-CN"/>
              </w:rPr>
              <w:t>饶望冬、文明</w:t>
            </w:r>
          </w:p>
        </w:tc>
        <w:tc>
          <w:tcPr>
            <w:tcW w:w="659" w:type="pct"/>
            <w:tcBorders>
              <w:top w:val="single" w:color="auto" w:sz="4" w:space="0"/>
              <w:left w:val="single" w:color="auto" w:sz="4" w:space="0"/>
              <w:bottom w:val="single" w:color="auto" w:sz="4" w:space="0"/>
            </w:tcBorders>
            <w:vAlign w:val="center"/>
          </w:tcPr>
          <w:p>
            <w:pPr>
              <w:pStyle w:val="18"/>
              <w:bidi w:val="0"/>
            </w:pPr>
            <w:r>
              <w:rPr>
                <w:rFonts w:hint="eastAsia"/>
              </w:rPr>
              <w:t>调查时间</w:t>
            </w:r>
          </w:p>
        </w:tc>
        <w:tc>
          <w:tcPr>
            <w:tcW w:w="959" w:type="pct"/>
            <w:tcBorders>
              <w:top w:val="single" w:color="auto" w:sz="4" w:space="0"/>
              <w:left w:val="single" w:color="auto" w:sz="4" w:space="0"/>
              <w:bottom w:val="single" w:color="auto" w:sz="4" w:space="0"/>
            </w:tcBorders>
            <w:vAlign w:val="center"/>
          </w:tcPr>
          <w:p>
            <w:pPr>
              <w:pStyle w:val="18"/>
              <w:bidi w:val="0"/>
              <w:rPr>
                <w:rFonts w:hint="default"/>
                <w:lang w:val="en-US" w:eastAsia="zh-CN"/>
              </w:rPr>
            </w:pPr>
            <w:r>
              <w:rPr>
                <w:rFonts w:hint="eastAsia"/>
              </w:rPr>
              <w:t>202</w:t>
            </w:r>
            <w:r>
              <w:rPr>
                <w:rFonts w:hint="eastAsia"/>
                <w:lang w:val="en-US" w:eastAsia="zh-CN"/>
              </w:rPr>
              <w:t>2.5.19</w:t>
            </w:r>
          </w:p>
        </w:tc>
        <w:tc>
          <w:tcPr>
            <w:tcW w:w="501" w:type="pct"/>
            <w:tcBorders>
              <w:top w:val="single" w:color="auto" w:sz="4" w:space="0"/>
              <w:left w:val="single" w:color="auto" w:sz="4" w:space="0"/>
              <w:bottom w:val="single" w:color="auto" w:sz="4" w:space="0"/>
            </w:tcBorders>
            <w:vAlign w:val="center"/>
          </w:tcPr>
          <w:p>
            <w:pPr>
              <w:pStyle w:val="18"/>
              <w:bidi w:val="0"/>
            </w:pPr>
            <w:r>
              <w:rPr>
                <w:rFonts w:hint="eastAsia"/>
              </w:rPr>
              <w:t>陪同人</w:t>
            </w:r>
          </w:p>
        </w:tc>
        <w:tc>
          <w:tcPr>
            <w:tcW w:w="500" w:type="pct"/>
            <w:tcBorders>
              <w:top w:val="single" w:color="auto" w:sz="4" w:space="0"/>
              <w:left w:val="single" w:color="auto" w:sz="4" w:space="0"/>
              <w:bottom w:val="single" w:color="auto" w:sz="4" w:space="0"/>
            </w:tcBorders>
            <w:vAlign w:val="center"/>
          </w:tcPr>
          <w:p>
            <w:pPr>
              <w:pStyle w:val="18"/>
              <w:bidi w:val="0"/>
            </w:pPr>
            <w:r>
              <w:rPr>
                <w:rFonts w:hint="eastAsia"/>
                <w:lang w:val="en-US" w:eastAsia="zh-CN"/>
              </w:rPr>
              <w:t>资先生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53" w:type="pct"/>
            <w:tcBorders>
              <w:top w:val="single" w:color="auto" w:sz="4" w:space="0"/>
              <w:right w:val="single" w:color="auto" w:sz="4" w:space="0"/>
            </w:tcBorders>
            <w:vAlign w:val="center"/>
          </w:tcPr>
          <w:p>
            <w:pPr>
              <w:spacing w:line="340" w:lineRule="exact"/>
              <w:jc w:val="center"/>
              <w:rPr>
                <w:rFonts w:ascii="仿宋" w:hAnsi="仿宋" w:eastAsia="仿宋" w:cs="Times New Roman"/>
                <w:szCs w:val="21"/>
              </w:rPr>
            </w:pPr>
            <w:bookmarkStart w:id="0" w:name="_GoBack" w:colFirst="4" w:colLast="4"/>
            <w:r>
              <w:rPr>
                <w:rFonts w:hint="eastAsia" w:ascii="仿宋" w:hAnsi="仿宋" w:eastAsia="仿宋" w:cs="Times New Roman"/>
                <w:szCs w:val="21"/>
              </w:rPr>
              <w:t>检测人员</w:t>
            </w:r>
          </w:p>
        </w:tc>
        <w:tc>
          <w:tcPr>
            <w:tcW w:w="1425" w:type="pct"/>
            <w:tcBorders>
              <w:top w:val="single" w:color="auto" w:sz="4" w:space="0"/>
              <w:left w:val="single" w:color="auto" w:sz="4" w:space="0"/>
              <w:bottom w:val="single" w:color="auto" w:sz="4" w:space="0"/>
            </w:tcBorders>
            <w:vAlign w:val="center"/>
          </w:tcPr>
          <w:p>
            <w:pPr>
              <w:pStyle w:val="18"/>
              <w:bidi w:val="0"/>
              <w:rPr>
                <w:rFonts w:hint="eastAsia"/>
                <w:lang w:eastAsia="zh-CN"/>
              </w:rPr>
            </w:pPr>
            <w:r>
              <w:rPr>
                <w:rFonts w:hint="eastAsia"/>
              </w:rPr>
              <w:t>甄嘉城、陈锦贤、潘海燕</w:t>
            </w:r>
          </w:p>
        </w:tc>
        <w:tc>
          <w:tcPr>
            <w:tcW w:w="659" w:type="pct"/>
            <w:tcBorders>
              <w:top w:val="single" w:color="auto" w:sz="4" w:space="0"/>
              <w:left w:val="single" w:color="auto" w:sz="4" w:space="0"/>
              <w:bottom w:val="single" w:color="auto" w:sz="4" w:space="0"/>
            </w:tcBorders>
            <w:vAlign w:val="center"/>
          </w:tcPr>
          <w:p>
            <w:pPr>
              <w:pStyle w:val="18"/>
              <w:bidi w:val="0"/>
            </w:pPr>
            <w:r>
              <w:rPr>
                <w:rFonts w:hint="eastAsia"/>
              </w:rPr>
              <w:t>检测时间</w:t>
            </w:r>
          </w:p>
        </w:tc>
        <w:tc>
          <w:tcPr>
            <w:tcW w:w="959" w:type="pct"/>
            <w:tcBorders>
              <w:top w:val="single" w:color="auto" w:sz="4" w:space="0"/>
              <w:left w:val="single" w:color="auto" w:sz="4" w:space="0"/>
              <w:bottom w:val="single" w:color="auto" w:sz="4" w:space="0"/>
            </w:tcBorders>
            <w:vAlign w:val="center"/>
          </w:tcPr>
          <w:p>
            <w:pPr>
              <w:pStyle w:val="18"/>
              <w:bidi w:val="0"/>
              <w:rPr>
                <w:rFonts w:hint="default"/>
                <w:lang w:val="en-US" w:eastAsia="zh-CN"/>
              </w:rPr>
            </w:pPr>
            <w:r>
              <w:rPr>
                <w:rFonts w:hint="eastAsia"/>
              </w:rPr>
              <w:t>202</w:t>
            </w:r>
            <w:r>
              <w:rPr>
                <w:rFonts w:hint="eastAsia"/>
                <w:lang w:val="en-US" w:eastAsia="zh-CN"/>
              </w:rPr>
              <w:t>2.5.26</w:t>
            </w:r>
            <w:r>
              <w:rPr>
                <w:rFonts w:hint="eastAsia"/>
              </w:rPr>
              <w:t>~</w:t>
            </w:r>
            <w:r>
              <w:rPr>
                <w:rFonts w:hint="eastAsia"/>
                <w:lang w:val="en-US" w:eastAsia="zh-CN"/>
              </w:rPr>
              <w:t>28</w:t>
            </w:r>
          </w:p>
        </w:tc>
        <w:tc>
          <w:tcPr>
            <w:tcW w:w="501" w:type="pct"/>
            <w:tcBorders>
              <w:top w:val="single" w:color="auto" w:sz="4" w:space="0"/>
              <w:left w:val="single" w:color="auto" w:sz="4" w:space="0"/>
              <w:bottom w:val="single" w:color="auto" w:sz="4" w:space="0"/>
            </w:tcBorders>
            <w:vAlign w:val="center"/>
          </w:tcPr>
          <w:p>
            <w:pPr>
              <w:pStyle w:val="18"/>
              <w:bidi w:val="0"/>
            </w:pPr>
            <w:r>
              <w:rPr>
                <w:rFonts w:hint="eastAsia"/>
              </w:rPr>
              <w:t>陪同人</w:t>
            </w:r>
          </w:p>
        </w:tc>
        <w:tc>
          <w:tcPr>
            <w:tcW w:w="500" w:type="pct"/>
            <w:tcBorders>
              <w:top w:val="single" w:color="auto" w:sz="4" w:space="0"/>
              <w:left w:val="single" w:color="auto" w:sz="4" w:space="0"/>
              <w:bottom w:val="single" w:color="auto" w:sz="4" w:space="0"/>
            </w:tcBorders>
            <w:vAlign w:val="center"/>
          </w:tcPr>
          <w:p>
            <w:pPr>
              <w:pStyle w:val="18"/>
              <w:bidi w:val="0"/>
            </w:pPr>
            <w:r>
              <w:rPr>
                <w:rFonts w:hint="eastAsia"/>
                <w:lang w:val="en-US" w:eastAsia="zh-CN"/>
              </w:rPr>
              <w:t>资先生</w:t>
            </w:r>
          </w:p>
        </w:tc>
      </w:tr>
      <w:bookmarkEnd w:id="0"/>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000" w:type="pct"/>
            <w:gridSpan w:val="6"/>
            <w:tcBorders>
              <w:top w:val="single" w:color="auto" w:sz="4" w:space="0"/>
              <w:bottom w:val="single" w:color="auto" w:sz="4" w:space="0"/>
            </w:tcBorders>
          </w:tcPr>
          <w:p>
            <w:pPr>
              <w:spacing w:line="320" w:lineRule="exact"/>
              <w:jc w:val="left"/>
              <w:rPr>
                <w:rFonts w:ascii="仿宋" w:hAnsi="仿宋" w:eastAsia="仿宋" w:cs="Times New Roman"/>
                <w:szCs w:val="21"/>
              </w:rPr>
            </w:pPr>
            <w:r>
              <w:rPr>
                <w:rFonts w:hint="eastAsia" w:ascii="仿宋" w:hAnsi="仿宋" w:eastAsia="仿宋" w:cs="Times New Roman"/>
                <w:szCs w:val="21"/>
              </w:rPr>
              <w:t>建设项目存在的主要职业病危害因素及检测结果：</w:t>
            </w:r>
          </w:p>
          <w:p>
            <w:pPr>
              <w:pStyle w:val="20"/>
              <w:bidi w:val="0"/>
              <w:rPr>
                <w:rFonts w:ascii="仿宋" w:hAnsi="仿宋" w:eastAsia="仿宋" w:cs="Times New Roman"/>
                <w:szCs w:val="21"/>
              </w:rPr>
            </w:pPr>
            <w:r>
              <w:rPr>
                <w:rFonts w:hint="eastAsia"/>
                <w:lang w:val="en-US" w:eastAsia="zh-CN"/>
              </w:rPr>
              <w:t>生产工艺过程中的职业病危害因素</w:t>
            </w:r>
            <w:r>
              <w:rPr>
                <w:rFonts w:hint="default"/>
              </w:rPr>
              <w:t>包括</w:t>
            </w:r>
            <w:r>
              <w:rPr>
                <w:rFonts w:hint="eastAsia" w:cs="宋体"/>
                <w:snapToGrid w:val="0"/>
                <w:spacing w:val="0"/>
                <w:kern w:val="0"/>
                <w:szCs w:val="28"/>
              </w:rPr>
              <w:t>锰及其化合物、氮氧化合物</w:t>
            </w:r>
            <w:r>
              <w:rPr>
                <w:rFonts w:hint="eastAsia" w:cs="宋体"/>
                <w:snapToGrid w:val="0"/>
                <w:spacing w:val="0"/>
                <w:kern w:val="0"/>
                <w:szCs w:val="28"/>
                <w:lang w:eastAsia="zh-CN"/>
              </w:rPr>
              <w:t>、</w:t>
            </w:r>
            <w:r>
              <w:rPr>
                <w:rFonts w:hint="eastAsia" w:cs="宋体"/>
                <w:snapToGrid w:val="0"/>
                <w:spacing w:val="0"/>
                <w:kern w:val="0"/>
                <w:szCs w:val="28"/>
              </w:rPr>
              <w:t>其他粉尘、砂轮磨尘、矽尘、电焊烟尘</w:t>
            </w:r>
            <w:r>
              <w:rPr>
                <w:rFonts w:hint="eastAsia" w:cs="宋体"/>
                <w:snapToGrid w:val="0"/>
                <w:spacing w:val="0"/>
                <w:kern w:val="0"/>
                <w:szCs w:val="28"/>
                <w:lang w:eastAsia="zh-CN"/>
              </w:rPr>
              <w:t>、</w:t>
            </w:r>
            <w:r>
              <w:rPr>
                <w:rFonts w:hint="eastAsia" w:cs="宋体"/>
                <w:snapToGrid w:val="0"/>
                <w:spacing w:val="0"/>
                <w:kern w:val="0"/>
                <w:szCs w:val="28"/>
              </w:rPr>
              <w:t>噪声、高温、振动、紫外线、工频电磁场</w:t>
            </w:r>
            <w:r>
              <w:rPr>
                <w:rFonts w:hint="eastAsia"/>
                <w:lang w:eastAsia="zh-CN"/>
              </w:rPr>
              <w:t>，</w:t>
            </w:r>
            <w:r>
              <w:rPr>
                <w:rFonts w:hint="eastAsia"/>
                <w:lang w:val="en-US" w:eastAsia="zh-CN"/>
              </w:rPr>
              <w:t>经检测，各岗位</w:t>
            </w:r>
            <w:r>
              <w:rPr>
                <w:rFonts w:hint="eastAsia"/>
              </w:rPr>
              <w:t>所检职业病危害因素均低于接触限值。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000" w:type="pct"/>
            <w:gridSpan w:val="6"/>
            <w:tcBorders>
              <w:top w:val="single" w:color="auto" w:sz="4" w:space="0"/>
              <w:bottom w:val="single" w:color="auto" w:sz="4" w:space="0"/>
            </w:tcBorders>
          </w:tcPr>
          <w:p>
            <w:pPr>
              <w:spacing w:line="320" w:lineRule="exact"/>
              <w:jc w:val="left"/>
              <w:rPr>
                <w:rFonts w:ascii="仿宋" w:hAnsi="仿宋" w:eastAsia="仿宋" w:cs="Times New Roman"/>
                <w:szCs w:val="21"/>
              </w:rPr>
            </w:pPr>
            <w:r>
              <w:rPr>
                <w:rFonts w:hint="eastAsia" w:ascii="仿宋" w:hAnsi="仿宋" w:eastAsia="仿宋" w:cs="Times New Roman"/>
                <w:szCs w:val="21"/>
              </w:rPr>
              <w:t>评价结论与建议：</w:t>
            </w:r>
          </w:p>
          <w:p>
            <w:pPr>
              <w:pStyle w:val="20"/>
              <w:bidi w:val="0"/>
            </w:pPr>
            <w:r>
              <w:t>结论</w:t>
            </w:r>
            <w:r>
              <w:rPr>
                <w:rFonts w:hint="eastAsia"/>
              </w:rPr>
              <w:t>：本项目试运行期间职业病防护满足国家和地方对职业病防治方面的法律、法规、标准的要求。在正常生产过程中，采取了控制效果评价报告所提对策措施和建议的情况下，符合国家和地方对职业病防治方面法律、法规、标准的要求。因此，该项目能够满足防护设施验收的条件。</w:t>
            </w:r>
          </w:p>
          <w:p>
            <w:pPr>
              <w:pStyle w:val="20"/>
              <w:bidi w:val="0"/>
              <w:rPr>
                <w:rFonts w:ascii="仿宋" w:hAnsi="仿宋" w:eastAsia="仿宋" w:cs="Times New Roman"/>
                <w:szCs w:val="21"/>
              </w:rPr>
            </w:pPr>
            <w:r>
              <w:rPr>
                <w:rFonts w:hint="eastAsia"/>
              </w:rPr>
              <w:t>建议：</w:t>
            </w:r>
            <w:r>
              <w:t>1</w:t>
            </w:r>
            <w:r>
              <w:rPr>
                <w:rFonts w:hint="eastAsia"/>
              </w:rPr>
              <w:t>）装卸车辆的门窗软连接密封条、滤尘器需定期进行保养</w:t>
            </w:r>
            <w:r>
              <w:t>。</w:t>
            </w:r>
            <w:r>
              <w:rPr>
                <w:rFonts w:hint="eastAsia"/>
              </w:rPr>
              <w:t>2）室外作业人员夏季易受环境高温影响，建议该公司制定合理的劳动休息制度，减少高温时段作业，增加休息时间，同时供给防暑降温清凉饮料等，并制定高温中暑现场处置</w:t>
            </w:r>
            <w:r>
              <w:rPr>
                <w:rFonts w:hint="eastAsia" w:ascii="仿宋_GB2312" w:hAnsi="仿宋_GB2312" w:cs="仿宋_GB2312"/>
              </w:rPr>
              <w:t>方案，定期进行演练</w:t>
            </w:r>
            <w:r>
              <w:t>。</w:t>
            </w:r>
            <w:r>
              <w:rPr>
                <w:rFonts w:hint="eastAsia"/>
              </w:rPr>
              <w:t>3）</w:t>
            </w:r>
            <w:r>
              <w:rPr>
                <w:kern w:val="28"/>
              </w:rPr>
              <w:t>建设项目</w:t>
            </w:r>
            <w:r>
              <w:rPr>
                <w:rFonts w:hint="eastAsia"/>
                <w:kern w:val="28"/>
              </w:rPr>
              <w:t>在装卸</w:t>
            </w:r>
            <w:r>
              <w:rPr>
                <w:kern w:val="28"/>
              </w:rPr>
              <w:t>规模、工艺或者职业病危害因素的种类、防护设施等发生变更时，应当按照有关规定对变更内容重新进行职业病危害评价</w:t>
            </w:r>
            <w:r>
              <w:t>。</w:t>
            </w:r>
            <w:r>
              <w:rPr>
                <w:rFonts w:hint="eastAsia"/>
              </w:rPr>
              <w:t>4）</w:t>
            </w:r>
            <w:r>
              <w:rPr>
                <w:kern w:val="28"/>
              </w:rPr>
              <w:t>企业应按照《职业卫生档案管理规范》（</w:t>
            </w:r>
            <w:r>
              <w:rPr>
                <w:rFonts w:hint="eastAsia"/>
                <w:kern w:val="28"/>
              </w:rPr>
              <w:t>原</w:t>
            </w:r>
            <w:r>
              <w:rPr>
                <w:kern w:val="28"/>
              </w:rPr>
              <w:t>安监总厅安健〔2013〕171号）的要求</w:t>
            </w:r>
            <w:r>
              <w:rPr>
                <w:rFonts w:hint="eastAsia"/>
                <w:kern w:val="28"/>
              </w:rPr>
              <w:t>建立各类</w:t>
            </w:r>
            <w:r>
              <w:rPr>
                <w:kern w:val="28"/>
              </w:rPr>
              <w:t>职业卫生档案，各类职业卫生管理资料应及时整理归档</w:t>
            </w:r>
            <w: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000" w:type="pct"/>
            <w:gridSpan w:val="6"/>
            <w:tcBorders>
              <w:top w:val="single" w:color="auto" w:sz="4" w:space="0"/>
              <w:bottom w:val="single" w:color="auto" w:sz="4" w:space="0"/>
            </w:tcBorders>
          </w:tcPr>
          <w:p>
            <w:pPr>
              <w:spacing w:line="320" w:lineRule="exact"/>
              <w:jc w:val="left"/>
              <w:rPr>
                <w:rFonts w:ascii="仿宋" w:hAnsi="仿宋" w:eastAsia="仿宋" w:cs="Times New Roman"/>
                <w:szCs w:val="21"/>
              </w:rPr>
            </w:pPr>
            <w:r>
              <w:rPr>
                <w:rFonts w:hint="eastAsia" w:ascii="仿宋" w:hAnsi="仿宋" w:eastAsia="仿宋" w:cs="Times New Roman"/>
                <w:szCs w:val="21"/>
              </w:rPr>
              <w:t>技术审查专家组评审意见：</w:t>
            </w:r>
          </w:p>
          <w:p>
            <w:pPr>
              <w:pStyle w:val="20"/>
              <w:bidi w:val="0"/>
              <w:rPr>
                <w:rFonts w:hint="eastAsia"/>
                <w:lang w:eastAsia="zh-CN"/>
              </w:rPr>
            </w:pPr>
            <w:r>
              <w:rPr>
                <w:rFonts w:hint="eastAsia"/>
              </w:rPr>
              <w:t>1）细化砂石堆场的设置情况描述；2）</w:t>
            </w:r>
            <w:r>
              <w:rPr>
                <w:lang w:val="zh-CN"/>
              </w:rPr>
              <w:t>完善防高温设施的分析与评价内容</w:t>
            </w:r>
            <w:r>
              <w:rPr>
                <w:rFonts w:hint="eastAsia"/>
                <w:lang w:eastAsia="zh-CN"/>
              </w:rPr>
              <w:t>；</w:t>
            </w:r>
            <w:r>
              <w:rPr>
                <w:rFonts w:hint="eastAsia"/>
                <w:lang w:val="en-US" w:eastAsia="zh-CN"/>
              </w:rPr>
              <w:t>3）</w:t>
            </w:r>
            <w:r>
              <w:rPr>
                <w:rFonts w:hint="eastAsia"/>
              </w:rPr>
              <w:t>专家提出的其他个人意见</w:t>
            </w:r>
            <w:r>
              <w:rPr>
                <w:rFonts w:hint="eastAsia"/>
                <w:lang w:eastAsia="zh-CN"/>
              </w:rPr>
              <w:t>；</w:t>
            </w:r>
          </w:p>
          <w:p>
            <w:pPr>
              <w:pStyle w:val="20"/>
              <w:bidi w:val="0"/>
              <w:rPr>
                <w:rFonts w:ascii="仿宋" w:hAnsi="仿宋" w:eastAsia="仿宋" w:cs="Times New Roman"/>
                <w:szCs w:val="21"/>
              </w:rPr>
            </w:pPr>
            <w:r>
              <w:rPr>
                <w:rFonts w:hint="eastAsia"/>
              </w:rPr>
              <w:t>专家组同意修改后通过《控制效果评价报告》，修改后的《控制效果评价报告》须经专家组长确认。</w:t>
            </w:r>
          </w:p>
        </w:tc>
      </w:tr>
    </w:tbl>
    <w:p/>
    <w:sectPr>
      <w:pgSz w:w="11906" w:h="16838"/>
      <w:pgMar w:top="1440" w:right="1800" w:bottom="1440" w:left="1800" w:header="851" w:footer="992" w:gutter="0"/>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431">
      <wne:acd wne:acdName="acd0"/>
    </wne:keymap>
    <wne:keymap wne:kcmPrimary="0432">
      <wne:acd wne:acdName="acd1"/>
    </wne:keymap>
    <wne:keymap wne:kcmPrimary="0433">
      <wne:acd wne:acdName="acd2"/>
    </wne:keymap>
  </wne:keymaps>
  <wne:acds>
    <wne:acd wne:argValue="AgBoiDxohVG5W0VcLU4=" wne:acdName="acd0" wne:fciIndexBasedOn="0065"/>
    <wne:acd wne:argValue="AgBoiDxohVG5W2CX5l0=" wne:acdName="acd1" wne:fciIndexBasedOn="0065"/>
    <wne:acd wne:argValue="AgC1az2E" wne:acdName="acd2"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jNGIyYTliMTA4NDRlMmUyMGE1ODA5MmNiNjI1ODgifQ=="/>
  </w:docVars>
  <w:rsids>
    <w:rsidRoot w:val="002D5244"/>
    <w:rsid w:val="00051C70"/>
    <w:rsid w:val="000B6908"/>
    <w:rsid w:val="000F661D"/>
    <w:rsid w:val="002D5244"/>
    <w:rsid w:val="00355A35"/>
    <w:rsid w:val="003E27EE"/>
    <w:rsid w:val="003F0872"/>
    <w:rsid w:val="004B6752"/>
    <w:rsid w:val="00531B8B"/>
    <w:rsid w:val="005B6422"/>
    <w:rsid w:val="005C5F7A"/>
    <w:rsid w:val="00947E62"/>
    <w:rsid w:val="00A01BF0"/>
    <w:rsid w:val="00CF1EFE"/>
    <w:rsid w:val="00D86716"/>
    <w:rsid w:val="00E04A58"/>
    <w:rsid w:val="00E348AE"/>
    <w:rsid w:val="00E6761E"/>
    <w:rsid w:val="00EC7B75"/>
    <w:rsid w:val="00F26B48"/>
    <w:rsid w:val="041B0A5C"/>
    <w:rsid w:val="0721282E"/>
    <w:rsid w:val="076B3AA9"/>
    <w:rsid w:val="0CE56DCF"/>
    <w:rsid w:val="0DE62C9D"/>
    <w:rsid w:val="0FA933C0"/>
    <w:rsid w:val="1AF71484"/>
    <w:rsid w:val="1C250273"/>
    <w:rsid w:val="21676C37"/>
    <w:rsid w:val="23DA7B95"/>
    <w:rsid w:val="2DD6761F"/>
    <w:rsid w:val="2E0C3040"/>
    <w:rsid w:val="2EEA6615"/>
    <w:rsid w:val="2F1C72B3"/>
    <w:rsid w:val="3045283A"/>
    <w:rsid w:val="31510E64"/>
    <w:rsid w:val="35FA1ACA"/>
    <w:rsid w:val="35FC399A"/>
    <w:rsid w:val="3793032E"/>
    <w:rsid w:val="3E79027E"/>
    <w:rsid w:val="406665E0"/>
    <w:rsid w:val="436C1B2E"/>
    <w:rsid w:val="472B2331"/>
    <w:rsid w:val="4D714816"/>
    <w:rsid w:val="50642410"/>
    <w:rsid w:val="51A57D4C"/>
    <w:rsid w:val="577371DA"/>
    <w:rsid w:val="58580AAD"/>
    <w:rsid w:val="63427A00"/>
    <w:rsid w:val="6A116D0D"/>
    <w:rsid w:val="6F897E6A"/>
    <w:rsid w:val="70E46F2A"/>
    <w:rsid w:val="76397D18"/>
    <w:rsid w:val="791912D1"/>
    <w:rsid w:val="7BC40083"/>
    <w:rsid w:val="7BEE3352"/>
    <w:rsid w:val="7EDC0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7"/>
    <w:semiHidden/>
    <w:unhideWhenUsed/>
    <w:qFormat/>
    <w:uiPriority w:val="99"/>
    <w:rPr>
      <w:sz w:val="18"/>
      <w:szCs w:val="18"/>
    </w:r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semiHidden/>
    <w:qFormat/>
    <w:uiPriority w:val="99"/>
    <w:rPr>
      <w:sz w:val="18"/>
      <w:szCs w:val="18"/>
    </w:rPr>
  </w:style>
  <w:style w:type="character" w:customStyle="1" w:styleId="11">
    <w:name w:val="页脚 Char"/>
    <w:basedOn w:val="8"/>
    <w:link w:val="4"/>
    <w:semiHidden/>
    <w:qFormat/>
    <w:uiPriority w:val="99"/>
    <w:rPr>
      <w:sz w:val="18"/>
      <w:szCs w:val="18"/>
    </w:rPr>
  </w:style>
  <w:style w:type="character" w:customStyle="1" w:styleId="12">
    <w:name w:val="排版正文 Char Char"/>
    <w:link w:val="13"/>
    <w:qFormat/>
    <w:locked/>
    <w:uiPriority w:val="0"/>
    <w:rPr>
      <w:rFonts w:ascii="仿宋_GB2312" w:hAnsi="Times New Roman" w:eastAsia="仿宋_GB2312"/>
      <w:spacing w:val="8"/>
      <w:sz w:val="28"/>
      <w:szCs w:val="21"/>
    </w:rPr>
  </w:style>
  <w:style w:type="paragraph" w:customStyle="1" w:styleId="13">
    <w:name w:val="排版正文"/>
    <w:link w:val="12"/>
    <w:qFormat/>
    <w:uiPriority w:val="0"/>
    <w:pPr>
      <w:widowControl w:val="0"/>
      <w:spacing w:line="460" w:lineRule="exact"/>
      <w:ind w:firstLine="200" w:firstLineChars="200"/>
      <w:jc w:val="both"/>
    </w:pPr>
    <w:rPr>
      <w:rFonts w:ascii="仿宋_GB2312" w:hAnsi="Times New Roman" w:eastAsia="仿宋_GB2312" w:cstheme="minorBidi"/>
      <w:spacing w:val="8"/>
      <w:kern w:val="2"/>
      <w:sz w:val="28"/>
      <w:szCs w:val="21"/>
      <w:lang w:val="en-US" w:eastAsia="zh-CN" w:bidi="ar-SA"/>
    </w:rPr>
  </w:style>
  <w:style w:type="paragraph" w:styleId="14">
    <w:name w:val="List Paragraph"/>
    <w:basedOn w:val="1"/>
    <w:qFormat/>
    <w:uiPriority w:val="34"/>
    <w:pPr>
      <w:ind w:firstLine="420" w:firstLineChars="200"/>
    </w:pPr>
  </w:style>
  <w:style w:type="character" w:customStyle="1" w:styleId="15">
    <w:name w:val="批注文字 Char"/>
    <w:basedOn w:val="8"/>
    <w:link w:val="2"/>
    <w:semiHidden/>
    <w:qFormat/>
    <w:uiPriority w:val="99"/>
  </w:style>
  <w:style w:type="character" w:customStyle="1" w:styleId="16">
    <w:name w:val="批注主题 Char"/>
    <w:basedOn w:val="15"/>
    <w:link w:val="6"/>
    <w:semiHidden/>
    <w:qFormat/>
    <w:uiPriority w:val="99"/>
    <w:rPr>
      <w:b/>
      <w:bCs/>
    </w:rPr>
  </w:style>
  <w:style w:type="character" w:customStyle="1" w:styleId="17">
    <w:name w:val="批注框文本 Char"/>
    <w:basedOn w:val="8"/>
    <w:link w:val="3"/>
    <w:semiHidden/>
    <w:qFormat/>
    <w:uiPriority w:val="99"/>
    <w:rPr>
      <w:sz w:val="18"/>
      <w:szCs w:val="18"/>
    </w:rPr>
  </w:style>
  <w:style w:type="paragraph" w:customStyle="1" w:styleId="18">
    <w:name w:val="表格内容居中"/>
    <w:basedOn w:val="1"/>
    <w:link w:val="21"/>
    <w:qFormat/>
    <w:uiPriority w:val="0"/>
    <w:pPr>
      <w:spacing w:line="340" w:lineRule="exact"/>
      <w:jc w:val="center"/>
    </w:pPr>
    <w:rPr>
      <w:rFonts w:hint="eastAsia" w:ascii="仿宋" w:hAnsi="仿宋" w:eastAsia="仿宋" w:cs="Times New Roman"/>
      <w:szCs w:val="21"/>
    </w:rPr>
  </w:style>
  <w:style w:type="paragraph" w:customStyle="1" w:styleId="19">
    <w:name w:val="表格内容靠左"/>
    <w:basedOn w:val="1"/>
    <w:link w:val="22"/>
    <w:uiPriority w:val="0"/>
    <w:pPr>
      <w:spacing w:line="340" w:lineRule="exact"/>
      <w:jc w:val="left"/>
    </w:pPr>
    <w:rPr>
      <w:rFonts w:hint="eastAsia" w:ascii="仿宋" w:hAnsi="仿宋" w:eastAsia="仿宋" w:cs="Times New Roman"/>
      <w:szCs w:val="21"/>
    </w:rPr>
  </w:style>
  <w:style w:type="paragraph" w:customStyle="1" w:styleId="20">
    <w:name w:val="段落"/>
    <w:basedOn w:val="1"/>
    <w:link w:val="23"/>
    <w:qFormat/>
    <w:uiPriority w:val="0"/>
    <w:pPr>
      <w:spacing w:line="320" w:lineRule="exact"/>
      <w:ind w:firstLine="420" w:firstLineChars="200"/>
      <w:jc w:val="left"/>
    </w:pPr>
    <w:rPr>
      <w:rFonts w:hint="eastAsia" w:ascii="仿宋" w:hAnsi="仿宋" w:eastAsia="仿宋" w:cs="Times New Roman"/>
      <w:szCs w:val="21"/>
    </w:rPr>
  </w:style>
  <w:style w:type="character" w:customStyle="1" w:styleId="21">
    <w:name w:val="表格内容居中 Char"/>
    <w:link w:val="18"/>
    <w:qFormat/>
    <w:uiPriority w:val="0"/>
    <w:rPr>
      <w:rFonts w:hint="eastAsia" w:ascii="仿宋" w:hAnsi="仿宋" w:eastAsia="仿宋" w:cs="Times New Roman"/>
      <w:szCs w:val="21"/>
    </w:rPr>
  </w:style>
  <w:style w:type="character" w:customStyle="1" w:styleId="22">
    <w:name w:val="表格内容靠左 Char"/>
    <w:link w:val="19"/>
    <w:uiPriority w:val="0"/>
    <w:rPr>
      <w:rFonts w:hint="eastAsia" w:ascii="仿宋" w:hAnsi="仿宋" w:eastAsia="仿宋" w:cs="Times New Roman"/>
      <w:szCs w:val="21"/>
    </w:rPr>
  </w:style>
  <w:style w:type="character" w:customStyle="1" w:styleId="23">
    <w:name w:val="段落 Char"/>
    <w:link w:val="20"/>
    <w:qFormat/>
    <w:uiPriority w:val="0"/>
    <w:rPr>
      <w:rFonts w:hint="eastAsia" w:ascii="仿宋" w:hAnsi="仿宋" w:eastAsia="仿宋" w:cs="Times New Roman"/>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microsoft.com/office/2006/relationships/keyMapCustomizations" Target="customizations.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242FA1-6755-45A5-813D-6142C09CF23B}">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897</Words>
  <Characters>940</Characters>
  <Lines>9</Lines>
  <Paragraphs>2</Paragraphs>
  <TotalTime>0</TotalTime>
  <ScaleCrop>false</ScaleCrop>
  <LinksUpToDate>false</LinksUpToDate>
  <CharactersWithSpaces>959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2020-04-20T06:47:00Z</dcterms:created>
  <dc:creator>微软用户</dc:creator>
  <cp:lastModifiedBy>nice</cp:lastModifiedBy>
  <dcterms:modified xsi:type="dcterms:W3CDTF">2023-05-10T03:54:51Z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38D351A33A284B408A55868A658F4174_13</vt:lpwstr>
  </property>
</Properties>
</file>