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96"/>
        <w:gridCol w:w="2536"/>
        <w:gridCol w:w="1173"/>
        <w:gridCol w:w="1706"/>
        <w:gridCol w:w="891"/>
        <w:gridCol w:w="8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广州集通仓码有限公司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广州集通仓码有限公司建设项目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szCs w:val="28"/>
              </w:rPr>
              <w:t>广州市黄埔区广江路1号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扩建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6" w:type="pct"/>
            <w:gridSpan w:val="5"/>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eastAsia="zh-CN"/>
              </w:rPr>
            </w:pPr>
            <w:r>
              <w:rPr>
                <w:rFonts w:hint="eastAsia"/>
                <w:lang w:val="en-US" w:eastAsia="zh-CN"/>
              </w:rPr>
              <w:t>周先生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6"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6" w:type="pct"/>
            <w:gridSpan w:val="5"/>
            <w:tcBorders>
              <w:top w:val="single" w:color="auto" w:sz="4" w:space="0"/>
              <w:left w:val="single" w:color="auto" w:sz="4" w:space="0"/>
              <w:bottom w:val="single" w:color="auto" w:sz="4" w:space="0"/>
            </w:tcBorders>
            <w:vAlign w:val="center"/>
          </w:tcPr>
          <w:p>
            <w:pPr>
              <w:pStyle w:val="19"/>
              <w:bidi w:val="0"/>
              <w:rPr>
                <w:rFonts w:hint="eastAsia" w:eastAsia="仿宋"/>
                <w:vertAlign w:val="baseline"/>
                <w:lang w:val="en-US" w:eastAsia="zh-CN"/>
              </w:rPr>
            </w:pPr>
            <w:r>
              <w:rPr>
                <w:rFonts w:hint="eastAsia"/>
              </w:rPr>
              <w:t>项目设置有1</w:t>
            </w:r>
            <w:r>
              <w:t>000</w:t>
            </w:r>
            <w:r>
              <w:rPr>
                <w:rFonts w:hint="eastAsia"/>
              </w:rPr>
              <w:t>吨级散货船泊位一个，顺岸式码头长5</w:t>
            </w:r>
            <w:r>
              <w:t>1.9</w:t>
            </w:r>
            <w:r>
              <w:rPr>
                <w:rFonts w:hint="eastAsia"/>
              </w:rPr>
              <w:t>m，堆场占地面积</w:t>
            </w:r>
            <w:r>
              <w:t>20000</w:t>
            </w:r>
            <w:r>
              <w:rPr>
                <w:rFonts w:hint="eastAsia"/>
              </w:rPr>
              <w:t>m</w:t>
            </w:r>
            <w:r>
              <w:rPr>
                <w:rFonts w:hint="eastAsia"/>
                <w:vertAlign w:val="superscript"/>
              </w:rPr>
              <w:t>2</w:t>
            </w:r>
            <w:r>
              <w:rPr>
                <w:rFonts w:hint="eastAsia"/>
              </w:rPr>
              <w:t>，主要进行建筑废弃物装卸，装卸量为3667816吨/</w:t>
            </w:r>
            <w:r>
              <w:t>年</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3"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25" w:type="pct"/>
            <w:tcBorders>
              <w:top w:val="single" w:color="auto" w:sz="4" w:space="0"/>
              <w:left w:val="single" w:color="auto" w:sz="4" w:space="0"/>
              <w:bottom w:val="single" w:color="auto" w:sz="4" w:space="0"/>
            </w:tcBorders>
            <w:vAlign w:val="center"/>
          </w:tcPr>
          <w:p>
            <w:pPr>
              <w:pStyle w:val="18"/>
              <w:bidi w:val="0"/>
              <w:rPr>
                <w:rFonts w:hint="default" w:ascii="仿宋" w:hAnsi="仿宋" w:eastAsia="仿宋" w:cs="Times New Roman"/>
                <w:szCs w:val="21"/>
                <w:lang w:val="en-US"/>
              </w:rPr>
            </w:pPr>
            <w:r>
              <w:rPr>
                <w:rFonts w:hint="eastAsia"/>
                <w:lang w:val="en-US" w:eastAsia="zh-CN"/>
              </w:rPr>
              <w:t>饶望冬、文明</w:t>
            </w:r>
          </w:p>
        </w:tc>
        <w:tc>
          <w:tcPr>
            <w:tcW w:w="65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959"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2.3.24</w:t>
            </w:r>
          </w:p>
        </w:tc>
        <w:tc>
          <w:tcPr>
            <w:tcW w:w="501"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0"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lang w:val="en-US" w:eastAsia="zh-CN"/>
              </w:rPr>
              <w:t>周先生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25" w:type="pct"/>
            <w:tcBorders>
              <w:top w:val="single" w:color="auto" w:sz="4" w:space="0"/>
              <w:left w:val="single" w:color="auto" w:sz="4" w:space="0"/>
              <w:bottom w:val="single" w:color="auto" w:sz="4" w:space="0"/>
            </w:tcBorders>
            <w:vAlign w:val="center"/>
          </w:tcPr>
          <w:p>
            <w:pPr>
              <w:pStyle w:val="18"/>
              <w:bidi w:val="0"/>
              <w:rPr>
                <w:rFonts w:hint="eastAsia" w:ascii="仿宋" w:hAnsi="仿宋" w:eastAsia="仿宋" w:cs="Times New Roman"/>
                <w:szCs w:val="21"/>
                <w:lang w:eastAsia="zh-CN"/>
              </w:rPr>
            </w:pPr>
            <w:r>
              <w:rPr>
                <w:rFonts w:hint="eastAsia"/>
              </w:rPr>
              <w:t>梁高亮、刘健永</w:t>
            </w:r>
          </w:p>
        </w:tc>
        <w:tc>
          <w:tcPr>
            <w:tcW w:w="65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959"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2.3.31</w:t>
            </w:r>
            <w:r>
              <w:rPr>
                <w:rFonts w:hint="eastAsia" w:ascii="仿宋" w:hAnsi="仿宋" w:eastAsia="仿宋" w:cs="Times New Roman"/>
                <w:szCs w:val="21"/>
              </w:rPr>
              <w:t>~</w:t>
            </w:r>
            <w:r>
              <w:rPr>
                <w:rFonts w:hint="eastAsia" w:ascii="仿宋" w:hAnsi="仿宋" w:eastAsia="仿宋" w:cs="Times New Roman"/>
                <w:szCs w:val="21"/>
                <w:lang w:val="en-US" w:eastAsia="zh-CN"/>
              </w:rPr>
              <w:t>4.02</w:t>
            </w:r>
          </w:p>
        </w:tc>
        <w:tc>
          <w:tcPr>
            <w:tcW w:w="501"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0"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lang w:val="en-US" w:eastAsia="zh-CN"/>
              </w:rPr>
              <w:t>周先生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0"/>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cs="宋体"/>
                <w:snapToGrid w:val="0"/>
                <w:spacing w:val="0"/>
                <w:kern w:val="0"/>
                <w:szCs w:val="28"/>
              </w:rPr>
              <w:t>矽尘、</w:t>
            </w:r>
            <w:r>
              <w:rPr>
                <w:rFonts w:hint="eastAsia"/>
              </w:rPr>
              <w:t>噪声、高温</w:t>
            </w:r>
            <w:r>
              <w:rPr>
                <w:rFonts w:hint="eastAsia"/>
                <w:lang w:eastAsia="zh-CN"/>
              </w:rPr>
              <w:t>，</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0"/>
              <w:bidi w:val="0"/>
              <w:rPr>
                <w:rFonts w:ascii="仿宋" w:hAnsi="仿宋" w:eastAsia="仿宋" w:cs="Times New Roman"/>
                <w:szCs w:val="21"/>
              </w:rPr>
            </w:pPr>
            <w:r>
              <w:rPr>
                <w:rFonts w:hint="eastAsia"/>
              </w:rPr>
              <w:t>建议：</w:t>
            </w:r>
            <w:r>
              <w:t>1</w:t>
            </w:r>
            <w:r>
              <w:rPr>
                <w:rFonts w:hint="eastAsia"/>
              </w:rPr>
              <w:t>）装卸车辆的门窗软连接密封条、滤尘器需定期进行保养</w:t>
            </w:r>
            <w:r>
              <w:t>。</w:t>
            </w:r>
            <w:r>
              <w:rPr>
                <w:rFonts w:hint="eastAsia"/>
              </w:rPr>
              <w:t>2）</w:t>
            </w:r>
            <w:r>
              <w:rPr>
                <w:rFonts w:hint="eastAsia"/>
                <w:kern w:val="28"/>
              </w:rPr>
              <w:t>定期对地面进行清扫，避免二次扬尘</w:t>
            </w:r>
            <w:r>
              <w:t>。</w:t>
            </w:r>
            <w:r>
              <w:rPr>
                <w:rFonts w:hint="eastAsia"/>
              </w:rPr>
              <w:t>3）定期对码头、堆场进行洒水，保持泥土湿度</w:t>
            </w:r>
            <w:r>
              <w:t>。</w:t>
            </w:r>
            <w:r>
              <w:rPr>
                <w:rFonts w:hint="eastAsia"/>
              </w:rPr>
              <w:t>4）室外作业人员夏季易受环境高温影响，建议该公司制定合理的劳动休息制度，减少高温时段作业，增加休息时间，同时供给防暑降温清凉饮料等，并制定高温中暑现场处置</w:t>
            </w:r>
            <w:r>
              <w:rPr>
                <w:rFonts w:hint="eastAsia" w:ascii="仿宋_GB2312" w:hAnsi="仿宋_GB2312" w:cs="仿宋_GB2312"/>
              </w:rPr>
              <w:t>方案，定期进行演练</w:t>
            </w:r>
            <w: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0"/>
              <w:bidi w:val="0"/>
              <w:rPr>
                <w:rFonts w:hint="eastAsia"/>
                <w:lang w:eastAsia="zh-CN"/>
              </w:rPr>
            </w:pPr>
            <w:bookmarkStart w:id="0" w:name="_GoBack"/>
            <w:r>
              <w:rPr>
                <w:rFonts w:hint="eastAsia"/>
              </w:rPr>
              <w:t>1）细化废弃物种类和来源；2）进一步细化高温的分析与评价</w:t>
            </w:r>
            <w:r>
              <w:rPr>
                <w:rFonts w:hint="eastAsia"/>
                <w:lang w:eastAsia="zh-CN"/>
              </w:rPr>
              <w:t>；</w:t>
            </w:r>
            <w:r>
              <w:rPr>
                <w:rFonts w:hint="eastAsia"/>
                <w:lang w:val="en-US" w:eastAsia="zh-CN"/>
              </w:rPr>
              <w:t>3）</w:t>
            </w:r>
            <w:r>
              <w:rPr>
                <w:rFonts w:hint="eastAsia"/>
              </w:rPr>
              <w:t>专家提出的其他个人意见</w:t>
            </w:r>
            <w:r>
              <w:rPr>
                <w:rFonts w:hint="eastAsia"/>
                <w:lang w:eastAsia="zh-CN"/>
              </w:rPr>
              <w:t>；</w:t>
            </w:r>
          </w:p>
          <w:bookmarkEnd w:id="0"/>
          <w:p>
            <w:pPr>
              <w:pStyle w:val="20"/>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721282E"/>
    <w:rsid w:val="076B3AA9"/>
    <w:rsid w:val="0DE62C9D"/>
    <w:rsid w:val="1AF71484"/>
    <w:rsid w:val="1C250273"/>
    <w:rsid w:val="21676C37"/>
    <w:rsid w:val="2DD6761F"/>
    <w:rsid w:val="2E0C3040"/>
    <w:rsid w:val="2EEA6615"/>
    <w:rsid w:val="2F1C72B3"/>
    <w:rsid w:val="3045283A"/>
    <w:rsid w:val="31510E64"/>
    <w:rsid w:val="35FA1ACA"/>
    <w:rsid w:val="35FC399A"/>
    <w:rsid w:val="3793032E"/>
    <w:rsid w:val="3E79027E"/>
    <w:rsid w:val="406665E0"/>
    <w:rsid w:val="436C1B2E"/>
    <w:rsid w:val="472B2331"/>
    <w:rsid w:val="49794234"/>
    <w:rsid w:val="50642410"/>
    <w:rsid w:val="51A57D4C"/>
    <w:rsid w:val="577371DA"/>
    <w:rsid w:val="6A116D0D"/>
    <w:rsid w:val="6F897E6A"/>
    <w:rsid w:val="76397D18"/>
    <w:rsid w:val="791912D1"/>
    <w:rsid w:val="7BC40083"/>
    <w:rsid w:val="7BEE3352"/>
    <w:rsid w:val="7EDC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排版正文 Char Char"/>
    <w:link w:val="13"/>
    <w:qFormat/>
    <w:locked/>
    <w:uiPriority w:val="0"/>
    <w:rPr>
      <w:rFonts w:ascii="仿宋_GB2312" w:hAnsi="Times New Roman" w:eastAsia="仿宋_GB2312"/>
      <w:spacing w:val="8"/>
      <w:sz w:val="28"/>
      <w:szCs w:val="21"/>
    </w:rPr>
  </w:style>
  <w:style w:type="paragraph" w:customStyle="1" w:styleId="13">
    <w:name w:val="排版正文"/>
    <w:link w:val="12"/>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8"/>
    <w:link w:val="3"/>
    <w:semiHidden/>
    <w:qFormat/>
    <w:uiPriority w:val="99"/>
    <w:rPr>
      <w:sz w:val="18"/>
      <w:szCs w:val="18"/>
    </w:rPr>
  </w:style>
  <w:style w:type="paragraph" w:customStyle="1" w:styleId="18">
    <w:name w:val="表格内容居中"/>
    <w:basedOn w:val="1"/>
    <w:link w:val="21"/>
    <w:uiPriority w:val="0"/>
    <w:pPr>
      <w:spacing w:line="340" w:lineRule="exact"/>
      <w:jc w:val="center"/>
    </w:pPr>
    <w:rPr>
      <w:rFonts w:hint="eastAsia" w:ascii="仿宋" w:hAnsi="仿宋" w:eastAsia="仿宋" w:cs="Times New Roman"/>
      <w:szCs w:val="21"/>
    </w:rPr>
  </w:style>
  <w:style w:type="paragraph" w:customStyle="1" w:styleId="19">
    <w:name w:val="表格内容靠左"/>
    <w:basedOn w:val="1"/>
    <w:link w:val="22"/>
    <w:qFormat/>
    <w:uiPriority w:val="0"/>
    <w:pPr>
      <w:spacing w:line="340" w:lineRule="exact"/>
      <w:jc w:val="left"/>
    </w:pPr>
    <w:rPr>
      <w:rFonts w:hint="eastAsia" w:ascii="仿宋" w:hAnsi="仿宋" w:eastAsia="仿宋" w:cs="Times New Roman"/>
      <w:szCs w:val="21"/>
    </w:rPr>
  </w:style>
  <w:style w:type="paragraph" w:customStyle="1" w:styleId="20">
    <w:name w:val="段落"/>
    <w:basedOn w:val="1"/>
    <w:link w:val="23"/>
    <w:qFormat/>
    <w:uiPriority w:val="0"/>
    <w:pPr>
      <w:spacing w:line="320" w:lineRule="exact"/>
      <w:ind w:firstLine="420" w:firstLineChars="200"/>
      <w:jc w:val="left"/>
    </w:pPr>
    <w:rPr>
      <w:rFonts w:hint="eastAsia" w:ascii="仿宋" w:hAnsi="仿宋" w:eastAsia="仿宋" w:cs="Times New Roman"/>
      <w:szCs w:val="21"/>
    </w:rPr>
  </w:style>
  <w:style w:type="character" w:customStyle="1" w:styleId="21">
    <w:name w:val="表格内容居中 Char"/>
    <w:link w:val="18"/>
    <w:qFormat/>
    <w:uiPriority w:val="0"/>
    <w:rPr>
      <w:rFonts w:hint="eastAsia" w:ascii="仿宋" w:hAnsi="仿宋" w:eastAsia="仿宋" w:cs="Times New Roman"/>
      <w:szCs w:val="21"/>
    </w:rPr>
  </w:style>
  <w:style w:type="character" w:customStyle="1" w:styleId="22">
    <w:name w:val="表格内容靠左 Char"/>
    <w:link w:val="19"/>
    <w:uiPriority w:val="0"/>
    <w:rPr>
      <w:rFonts w:hint="eastAsia" w:ascii="仿宋" w:hAnsi="仿宋" w:eastAsia="仿宋" w:cs="Times New Roman"/>
      <w:szCs w:val="21"/>
    </w:rPr>
  </w:style>
  <w:style w:type="character" w:customStyle="1" w:styleId="23">
    <w:name w:val="段落 Char"/>
    <w:link w:val="20"/>
    <w:qFormat/>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699</Words>
  <Characters>739</Characters>
  <Lines>9</Lines>
  <Paragraphs>2</Paragraphs>
  <TotalTime>0</TotalTime>
  <ScaleCrop>false</ScaleCrop>
  <LinksUpToDate>false</LinksUpToDate>
  <CharactersWithSpaces>758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2023-05-10T03:21:41Z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3B76F3E8687D4B6E950CB899F6FD63B8_13</vt:lpwstr>
  </property>
</Properties>
</file>