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lang w:eastAsia="zh-CN"/>
              </w:rPr>
              <w:t>云浮市美华油脂化工有限公司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云浮市美华油脂化工有限公司一期建设项目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云浮市云安区六都镇循环经济产业园绿色日化产业集聚区内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严先生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1"/>
              <w:bidi w:val="0"/>
              <w:jc w:val="both"/>
              <w:rPr>
                <w:rFonts w:hint="default" w:eastAsia="仿宋"/>
                <w:vertAlign w:val="baseline"/>
                <w:lang w:val="en-US" w:eastAsia="zh-CN"/>
              </w:rPr>
            </w:pPr>
            <w:r>
              <w:rPr>
                <w:rFonts w:hint="eastAsia"/>
                <w:lang w:val="en-US" w:eastAsia="zh-CN"/>
              </w:rPr>
              <w:t>该项目总投资4500万元，年产10000万吨脂肪叔胺，项目具体包括：一车间、实验室、空压机房、配电房、锅炉房、埋地二甲胺储罐区、成品储罐区、制氮机房、无离子水机房、消防泵房、消防水池、污水处理站、事故应急池、乙类仓库、装卸区、氢气瓶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lang w:val="en-US" w:eastAsia="zh-CN"/>
              </w:rPr>
              <w:t>饶望冬、赵文朋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1.5.11</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严先生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岑道泳、陈锦贤、段煦</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0"/>
              <w:bidi w:val="0"/>
              <w:rPr>
                <w:rFonts w:hint="default" w:eastAsia="仿宋"/>
                <w:lang w:val="en-US" w:eastAsia="zh-CN"/>
              </w:rPr>
            </w:pPr>
            <w:r>
              <w:rPr>
                <w:rFonts w:hint="eastAsia"/>
              </w:rPr>
              <w:t>202</w:t>
            </w:r>
            <w:r>
              <w:rPr>
                <w:rFonts w:hint="eastAsia"/>
                <w:lang w:val="en-US" w:eastAsia="zh-CN"/>
              </w:rPr>
              <w:t>1.5.18</w:t>
            </w:r>
            <w:r>
              <w:rPr>
                <w:rFonts w:hint="eastAsia"/>
              </w:rPr>
              <w:t>~</w:t>
            </w:r>
            <w:r>
              <w:rPr>
                <w:rFonts w:hint="eastAsia"/>
                <w:lang w:val="en-US" w:eastAsia="zh-CN"/>
              </w:rPr>
              <w:t>20</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严先生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其他粉尘、氧化锌、硫酸及三氧化硫、氯化氢及盐酸、异丙醇、硫化氢、氨、一氧化碳、噪声、高温</w:t>
            </w:r>
            <w:r>
              <w:rPr>
                <w:rFonts w:hint="eastAsia"/>
                <w:color w:val="auto"/>
                <w:lang w:eastAsia="zh-CN"/>
              </w:rPr>
              <w:t>、二甲胺。</w:t>
            </w:r>
            <w:r>
              <w:rPr>
                <w:rFonts w:hint="eastAsia"/>
                <w:color w:val="auto"/>
                <w:lang w:val="en-US" w:eastAsia="zh-CN"/>
              </w:rPr>
              <w:t>其中，二甲胺无相应的现场检测和采样方法，因此无法进行检测。</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建设项目在生产规模、工艺或者职业病危害因素的种类、防护设施等发生变更时，应当按照有关规定对变更内容重新进行职业病危害评价</w:t>
            </w:r>
            <w:r>
              <w:t>。</w:t>
            </w:r>
            <w:r>
              <w:rPr>
                <w:rFonts w:hint="eastAsia"/>
              </w:rPr>
              <w:t>2）</w:t>
            </w:r>
            <w:r>
              <w:rPr>
                <w:rFonts w:hint="eastAsia"/>
                <w:color w:val="auto"/>
                <w:kern w:val="28"/>
              </w:rPr>
              <w:t>按照《工作场所职业卫生管理规定》（中华人民共和国国家卫生健康委员会令第5号，2021年）的要求，加强该项目的职业卫生管理工作，应做好每三年一次的作业场所职业病危害因素定期检测工作，检测、评价结果应当存入本单位职业卫生档案</w:t>
            </w:r>
            <w:r>
              <w:t>。</w:t>
            </w:r>
            <w:r>
              <w:rPr>
                <w:rFonts w:hint="eastAsia"/>
              </w:rPr>
              <w:t>3）</w:t>
            </w:r>
            <w:r>
              <w:rPr>
                <w:rFonts w:hint="eastAsia"/>
                <w:color w:val="auto"/>
                <w:lang w:val="en-US" w:eastAsia="zh-CN"/>
              </w:rPr>
              <w:t>加强有限空间作业的监督管理，实施有限空间作业应严格执行“先通风、先检测、后作业”的原则，未经通风和检测，未经作业负责人审批，任何人不得进入有限空间作业，在作业过程中，现场必须有负责人员、监护人员。严格执行安全管理培训制度，并做好相关的培训记录，未经培训合格不得上岗。在有限空间进入点附近设置醒目的警示标志，并告知作业者存在的危险危害因素和防控措施。按照相关规定定期对应急救援设施、职业病防护设施进行保养维护，以保证其正常运行</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补充装卸区、氢气瓶库的分析与评价内容</w:t>
            </w:r>
            <w:r>
              <w:rPr>
                <w:rFonts w:hint="eastAsia"/>
              </w:rPr>
              <w:t>；2）</w:t>
            </w:r>
            <w:r>
              <w:rPr>
                <w:rFonts w:hint="eastAsia"/>
                <w:lang w:val="en-US" w:eastAsia="zh-CN"/>
              </w:rPr>
              <w:t>完善职业病防护设施合理性、有效性分析</w:t>
            </w:r>
            <w:r>
              <w:rPr>
                <w:rFonts w:hint="eastAsia"/>
                <w:lang w:eastAsia="zh-CN"/>
              </w:rPr>
              <w:t>；</w:t>
            </w:r>
            <w:r>
              <w:rPr>
                <w:rFonts w:hint="eastAsia"/>
                <w:lang w:val="en-US" w:eastAsia="zh-CN"/>
              </w:rPr>
              <w:t>3）细化分析评价子单元的应急救援设施；4）</w:t>
            </w:r>
            <w:bookmarkStart w:id="0" w:name="_GoBack"/>
            <w:bookmarkEnd w:id="0"/>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5553977"/>
    <w:rsid w:val="2754014A"/>
    <w:rsid w:val="27B34984"/>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857FA0"/>
    <w:rsid w:val="3D60119F"/>
    <w:rsid w:val="3E79027E"/>
    <w:rsid w:val="406665E0"/>
    <w:rsid w:val="42EB101F"/>
    <w:rsid w:val="436C1B2E"/>
    <w:rsid w:val="472B2331"/>
    <w:rsid w:val="4D714816"/>
    <w:rsid w:val="4E9D1D67"/>
    <w:rsid w:val="50642410"/>
    <w:rsid w:val="51A57D4C"/>
    <w:rsid w:val="577371DA"/>
    <w:rsid w:val="58580AAD"/>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1252</Words>
  <Characters>1298</Characters>
  <Lines>9</Lines>
  <Paragraphs>2</Paragraphs>
  <TotalTime>1</TotalTime>
  <ScaleCrop>false</ScaleCrop>
  <LinksUpToDate>false</LinksUpToDate>
  <CharactersWithSpaces>1321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2023-05-12T02:13:20Z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DBE87D467B514B8FB5C4C94F4B170816_13</vt:lpwstr>
  </property>
</Properties>
</file>