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19"/>
              <w:bidi w:val="0"/>
              <w:rPr>
                <w:rFonts w:ascii="仿宋" w:hAnsi="仿宋" w:eastAsia="仿宋" w:cs="Times New Roman"/>
                <w:szCs w:val="21"/>
              </w:rPr>
            </w:pPr>
            <w:r>
              <w:rPr>
                <w:rFonts w:hint="eastAsia"/>
                <w:color w:val="auto"/>
                <w:lang w:eastAsia="zh-CN"/>
              </w:rPr>
              <w:t>英德市拓拓夫新材料科技有限公司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19"/>
              <w:bidi w:val="0"/>
            </w:pPr>
            <w:r>
              <w:rPr>
                <w:rFonts w:hint="eastAsia"/>
                <w:lang w:eastAsia="zh-CN"/>
              </w:rPr>
              <w:t>英德市拓拓夫新材料科技有限公司年产2.3万吨化学新材料建设项目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19"/>
              <w:bidi w:val="0"/>
              <w:rPr>
                <w:rFonts w:ascii="仿宋" w:hAnsi="仿宋" w:eastAsia="仿宋" w:cs="Times New Roman"/>
                <w:szCs w:val="21"/>
              </w:rPr>
            </w:pPr>
            <w:r>
              <w:rPr>
                <w:rFonts w:hint="eastAsia"/>
                <w:color w:val="auto"/>
                <w:lang w:val="en-US" w:eastAsia="zh-CN"/>
              </w:rPr>
              <w:t>清远华侨工业园精细化工二期规划地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19"/>
              <w:bidi w:val="0"/>
              <w:rPr>
                <w:rFonts w:hint="default" w:ascii="仿宋" w:hAnsi="仿宋" w:eastAsia="仿宋" w:cs="Times New Roman"/>
                <w:szCs w:val="21"/>
                <w:lang w:val="en-US" w:eastAsia="zh-CN"/>
              </w:rPr>
            </w:pPr>
            <w:r>
              <w:rPr>
                <w:rFonts w:hint="eastAsia"/>
                <w:kern w:val="0"/>
                <w:sz w:val="21"/>
                <w:szCs w:val="21"/>
                <w:lang w:val="en-US" w:eastAsia="zh-CN"/>
              </w:rPr>
              <w:t>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0"/>
              <w:bidi w:val="0"/>
              <w:jc w:val="both"/>
              <w:rPr>
                <w:rFonts w:hint="default" w:eastAsia="仿宋"/>
                <w:vertAlign w:val="baseline"/>
                <w:lang w:val="en-US" w:eastAsia="zh-CN"/>
              </w:rPr>
            </w:pPr>
            <w:r>
              <w:rPr>
                <w:rFonts w:hint="eastAsia"/>
                <w:lang w:val="en-US" w:eastAsia="zh-CN"/>
              </w:rPr>
              <w:t>该项目总投资2500万元，计划年产 2.3 万吨化学新材料（包括涂料系列、日化系列和工业助剂系列），项目具体包括：甲类车间、丙类车间、甲类仓库、丙类仓库、甲类埋地罐区、泵区、实验室、污水处理站、洗桶区、空压机房、配电房、消防泵房、锅炉房、事故应急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19"/>
              <w:bidi w:val="0"/>
              <w:rPr>
                <w:rFonts w:hint="default" w:eastAsia="仿宋"/>
                <w:lang w:val="en-US" w:eastAsia="zh-CN"/>
              </w:rPr>
            </w:pPr>
            <w:r>
              <w:rPr>
                <w:rFonts w:hint="eastAsia"/>
                <w:lang w:val="en-US" w:eastAsia="zh-CN"/>
              </w:rPr>
              <w:t>何曼静、王其飞</w:t>
            </w:r>
          </w:p>
        </w:tc>
        <w:tc>
          <w:tcPr>
            <w:tcW w:w="659" w:type="pct"/>
            <w:tcBorders>
              <w:top w:val="single" w:color="auto" w:sz="4" w:space="0"/>
              <w:left w:val="single" w:color="auto" w:sz="4" w:space="0"/>
              <w:bottom w:val="single" w:color="auto" w:sz="4" w:space="0"/>
            </w:tcBorders>
            <w:vAlign w:val="center"/>
          </w:tcPr>
          <w:p>
            <w:pPr>
              <w:pStyle w:val="19"/>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19"/>
              <w:bidi w:val="0"/>
              <w:rPr>
                <w:rFonts w:hint="default"/>
                <w:lang w:val="en-US" w:eastAsia="zh-CN"/>
              </w:rPr>
            </w:pPr>
            <w:r>
              <w:rPr>
                <w:rFonts w:hint="eastAsia"/>
              </w:rPr>
              <w:t>202</w:t>
            </w:r>
            <w:r>
              <w:rPr>
                <w:rFonts w:hint="eastAsia"/>
                <w:lang w:val="en-US" w:eastAsia="zh-CN"/>
              </w:rPr>
              <w:t>2.3.14</w:t>
            </w:r>
          </w:p>
        </w:tc>
        <w:tc>
          <w:tcPr>
            <w:tcW w:w="500" w:type="pct"/>
            <w:tcBorders>
              <w:top w:val="single" w:color="auto" w:sz="4" w:space="0"/>
              <w:left w:val="single" w:color="auto" w:sz="4" w:space="0"/>
              <w:bottom w:val="single" w:color="auto" w:sz="4" w:space="0"/>
            </w:tcBorders>
            <w:vAlign w:val="center"/>
          </w:tcPr>
          <w:p>
            <w:pPr>
              <w:pStyle w:val="19"/>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19"/>
              <w:bidi w:val="0"/>
            </w:pPr>
            <w:r>
              <w:rPr>
                <w:rFonts w:hint="eastAsia"/>
                <w:kern w:val="0"/>
                <w:sz w:val="21"/>
                <w:szCs w:val="21"/>
                <w:lang w:val="en-US" w:eastAsia="zh-CN"/>
              </w:rPr>
              <w:t>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19"/>
              <w:bidi w:val="0"/>
              <w:rPr>
                <w:rFonts w:hint="eastAsia"/>
                <w:lang w:eastAsia="zh-CN"/>
              </w:rPr>
            </w:pPr>
            <w:r>
              <w:rPr>
                <w:rFonts w:hint="eastAsia"/>
              </w:rPr>
              <w:t>黄聪明、陈金铨、董颖</w:t>
            </w:r>
          </w:p>
        </w:tc>
        <w:tc>
          <w:tcPr>
            <w:tcW w:w="659" w:type="pct"/>
            <w:tcBorders>
              <w:top w:val="single" w:color="auto" w:sz="4" w:space="0"/>
              <w:left w:val="single" w:color="auto" w:sz="4" w:space="0"/>
              <w:bottom w:val="single" w:color="auto" w:sz="4" w:space="0"/>
            </w:tcBorders>
            <w:vAlign w:val="center"/>
          </w:tcPr>
          <w:p>
            <w:pPr>
              <w:pStyle w:val="19"/>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19"/>
              <w:bidi w:val="0"/>
              <w:rPr>
                <w:rFonts w:hint="default" w:eastAsia="仿宋"/>
                <w:lang w:val="en-US" w:eastAsia="zh-CN"/>
              </w:rPr>
            </w:pPr>
            <w:r>
              <w:rPr>
                <w:rFonts w:hint="eastAsia"/>
              </w:rPr>
              <w:t>202</w:t>
            </w:r>
            <w:r>
              <w:rPr>
                <w:rFonts w:hint="eastAsia"/>
                <w:lang w:val="en-US" w:eastAsia="zh-CN"/>
              </w:rPr>
              <w:t>2.3.21</w:t>
            </w:r>
            <w:r>
              <w:rPr>
                <w:rFonts w:hint="eastAsia"/>
              </w:rPr>
              <w:t>~</w:t>
            </w:r>
            <w:r>
              <w:rPr>
                <w:rFonts w:hint="eastAsia"/>
                <w:lang w:val="en-US" w:eastAsia="zh-CN"/>
              </w:rPr>
              <w:t>23</w:t>
            </w:r>
          </w:p>
        </w:tc>
        <w:tc>
          <w:tcPr>
            <w:tcW w:w="500" w:type="pct"/>
            <w:tcBorders>
              <w:top w:val="single" w:color="auto" w:sz="4" w:space="0"/>
              <w:left w:val="single" w:color="auto" w:sz="4" w:space="0"/>
              <w:bottom w:val="single" w:color="auto" w:sz="4" w:space="0"/>
            </w:tcBorders>
            <w:vAlign w:val="center"/>
          </w:tcPr>
          <w:p>
            <w:pPr>
              <w:pStyle w:val="19"/>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19"/>
              <w:bidi w:val="0"/>
            </w:pPr>
            <w:r>
              <w:rPr>
                <w:rFonts w:hint="eastAsia"/>
                <w:kern w:val="0"/>
                <w:sz w:val="21"/>
                <w:szCs w:val="21"/>
                <w:lang w:val="en-US" w:eastAsia="zh-CN"/>
              </w:rPr>
              <w:t>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1"/>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滑石粉尘（总尘）、粉尘中游离二氧化硅含量、其他粉尘（总尘）、滑石粉尘（呼尘）、乙苯、二甲苯、氢氧化钠、苯、丙烯酸、异丙醇、氢氧化钾、五氧化二磷、过氧化氢、甲苯、磷酸、乙酸、氨、硫化氢、甲酸、噪声、高温。</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1"/>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1"/>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建设项目在生产规模、工艺或者职业病危害因素的种类、防护设施等发生变更时，应当按照有关规定对变更内容重新进行职业病危害评价。</w:t>
            </w:r>
            <w:r>
              <w:rPr>
                <w:rFonts w:hint="eastAsia"/>
              </w:rPr>
              <w:t>2）</w:t>
            </w:r>
            <w:r>
              <w:rPr>
                <w:rFonts w:hint="eastAsia"/>
                <w:color w:val="auto"/>
                <w:kern w:val="28"/>
              </w:rPr>
              <w:t>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r>
              <w:rPr>
                <w:rFonts w:hint="eastAsia"/>
                <w:color w:val="auto"/>
                <w:kern w:val="28"/>
                <w:lang w:val="en-US" w:eastAsia="zh-CN"/>
              </w:rPr>
              <w:t>3）加强有限空间作业的监督管理，实施有限空间作业应严格执行“先通风、先检测、后作业”的原则，未经通风和检测，未经作业负责人审批，任何人不得进入有限空间作业，在作业过程中，现场必须有负责人员、监护人员。严格执行安全管理培训制度，并做好相关的培训记录，未经培训合格不得上岗。在有限空间进入点附近设置醒目的警示标志，并告知作业者存在的危险危害因素和防控措施。按照相关规定定期对应急救援设施、职业病防护设施进行保养维护，以保证其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1"/>
              <w:bidi w:val="0"/>
              <w:rPr>
                <w:rFonts w:hint="eastAsia"/>
                <w:lang w:eastAsia="zh-CN"/>
              </w:rPr>
            </w:pPr>
            <w:r>
              <w:rPr>
                <w:rFonts w:hint="eastAsia"/>
              </w:rPr>
              <w:t>1）</w:t>
            </w:r>
            <w:r>
              <w:rPr>
                <w:rFonts w:hint="eastAsia"/>
                <w:lang w:val="en-US" w:eastAsia="zh-CN"/>
              </w:rPr>
              <w:t>完善职业病防护设施调查分析评价</w:t>
            </w:r>
            <w:r>
              <w:rPr>
                <w:rFonts w:hint="eastAsia"/>
              </w:rPr>
              <w:t>；2）</w:t>
            </w:r>
            <w:r>
              <w:rPr>
                <w:rFonts w:hint="eastAsia"/>
                <w:lang w:val="en-US" w:eastAsia="zh-CN"/>
              </w:rPr>
              <w:t>补充完善污水处理生产工艺及危害因素分析</w:t>
            </w:r>
            <w:bookmarkStart w:id="0" w:name="_GoBack"/>
            <w:bookmarkEnd w:id="0"/>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1"/>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D714816"/>
    <w:rsid w:val="4E9D1D67"/>
    <w:rsid w:val="4F1162B1"/>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排版正文 Char Char"/>
    <w:link w:val="14"/>
    <w:qFormat/>
    <w:locked/>
    <w:uiPriority w:val="0"/>
    <w:rPr>
      <w:rFonts w:ascii="仿宋_GB2312" w:hAnsi="Times New Roman" w:eastAsia="仿宋_GB2312"/>
      <w:spacing w:val="8"/>
      <w:sz w:val="28"/>
      <w:szCs w:val="21"/>
    </w:rPr>
  </w:style>
  <w:style w:type="paragraph" w:customStyle="1" w:styleId="14">
    <w:name w:val="排版正文"/>
    <w:link w:val="13"/>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5">
    <w:name w:val="List Paragraph"/>
    <w:basedOn w:val="1"/>
    <w:qFormat/>
    <w:uiPriority w:val="34"/>
    <w:pPr>
      <w:ind w:firstLine="420" w:firstLineChars="200"/>
    </w:pPr>
  </w:style>
  <w:style w:type="character" w:customStyle="1" w:styleId="16">
    <w:name w:val="批注文字 Char"/>
    <w:basedOn w:val="9"/>
    <w:link w:val="3"/>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9"/>
    <w:link w:val="4"/>
    <w:semiHidden/>
    <w:qFormat/>
    <w:uiPriority w:val="99"/>
    <w:rPr>
      <w:sz w:val="18"/>
      <w:szCs w:val="18"/>
    </w:rPr>
  </w:style>
  <w:style w:type="paragraph" w:customStyle="1" w:styleId="19">
    <w:name w:val="表格内容居中"/>
    <w:basedOn w:val="1"/>
    <w:link w:val="22"/>
    <w:uiPriority w:val="0"/>
    <w:pPr>
      <w:spacing w:line="340" w:lineRule="exact"/>
      <w:jc w:val="center"/>
    </w:pPr>
    <w:rPr>
      <w:rFonts w:hint="eastAsia" w:ascii="仿宋" w:hAnsi="仿宋" w:eastAsia="仿宋" w:cs="Times New Roman"/>
      <w:szCs w:val="21"/>
    </w:rPr>
  </w:style>
  <w:style w:type="paragraph" w:customStyle="1" w:styleId="20">
    <w:name w:val="表格内容靠左"/>
    <w:basedOn w:val="1"/>
    <w:link w:val="23"/>
    <w:qFormat/>
    <w:uiPriority w:val="0"/>
    <w:pPr>
      <w:spacing w:line="340" w:lineRule="exact"/>
      <w:jc w:val="left"/>
    </w:pPr>
    <w:rPr>
      <w:rFonts w:hint="eastAsia" w:ascii="仿宋" w:hAnsi="仿宋" w:eastAsia="仿宋" w:cs="Times New Roman"/>
      <w:szCs w:val="21"/>
    </w:rPr>
  </w:style>
  <w:style w:type="paragraph" w:customStyle="1" w:styleId="21">
    <w:name w:val="段落"/>
    <w:basedOn w:val="1"/>
    <w:link w:val="24"/>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2">
    <w:name w:val="表格内容居中 Char"/>
    <w:link w:val="19"/>
    <w:qFormat/>
    <w:uiPriority w:val="0"/>
    <w:rPr>
      <w:rFonts w:hint="eastAsia" w:ascii="仿宋" w:hAnsi="仿宋" w:eastAsia="仿宋" w:cs="Times New Roman"/>
      <w:szCs w:val="21"/>
    </w:rPr>
  </w:style>
  <w:style w:type="character" w:customStyle="1" w:styleId="23">
    <w:name w:val="表格内容靠左 Char"/>
    <w:link w:val="20"/>
    <w:qFormat/>
    <w:uiPriority w:val="0"/>
    <w:rPr>
      <w:rFonts w:hint="eastAsia" w:ascii="仿宋" w:hAnsi="仿宋" w:eastAsia="仿宋" w:cs="Times New Roman"/>
      <w:szCs w:val="21"/>
    </w:rPr>
  </w:style>
  <w:style w:type="character" w:customStyle="1" w:styleId="24">
    <w:name w:val="段落 Char"/>
    <w:link w:val="21"/>
    <w:qFormat/>
    <w:uiPriority w:val="0"/>
    <w:rPr>
      <w:rFonts w:hint="eastAsia" w:ascii="仿宋" w:hAnsi="仿宋" w:eastAsia="仿宋" w:cs="Times New Roman"/>
      <w:szCs w:val="21"/>
    </w:rPr>
  </w:style>
  <w:style w:type="paragraph" w:customStyle="1" w:styleId="25">
    <w:name w:val="Default"/>
    <w:basedOn w:val="26"/>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26">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820</Words>
  <Characters>854</Characters>
  <Lines>9</Lines>
  <Paragraphs>2</Paragraphs>
  <TotalTime>0</TotalTime>
  <ScaleCrop>false</ScaleCrop>
  <LinksUpToDate>false</LinksUpToDate>
  <CharactersWithSpaces>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2023-05-12T02:37:44Z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71E21E95A6494E9E910831E483B21956_13</vt:lpwstr>
  </property>
</Properties>
</file>