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6"/>
        <w:gridCol w:w="2536"/>
        <w:gridCol w:w="1173"/>
        <w:gridCol w:w="1706"/>
        <w:gridCol w:w="891"/>
        <w:gridCol w:w="8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6" w:type="pct"/>
            <w:gridSpan w:val="5"/>
            <w:tcBorders>
              <w:top w:val="single" w:color="auto" w:sz="4" w:space="0"/>
              <w:left w:val="single" w:color="auto" w:sz="4" w:space="0"/>
              <w:bottom w:val="single" w:color="auto" w:sz="4" w:space="0"/>
            </w:tcBorders>
            <w:vAlign w:val="center"/>
          </w:tcPr>
          <w:p>
            <w:pPr>
              <w:pStyle w:val="20"/>
              <w:bidi w:val="0"/>
              <w:rPr>
                <w:rFonts w:ascii="仿宋" w:hAnsi="仿宋" w:eastAsia="仿宋" w:cs="Times New Roman"/>
                <w:szCs w:val="21"/>
              </w:rPr>
            </w:pPr>
            <w:bookmarkStart w:id="0" w:name="_Toc8434"/>
            <w:r>
              <w:rPr>
                <w:rFonts w:hint="eastAsia"/>
                <w:color w:val="auto"/>
                <w:lang w:eastAsia="zh-CN"/>
              </w:rPr>
              <w:t>清远市清环环保有限公司</w:t>
            </w: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6" w:type="pct"/>
            <w:gridSpan w:val="5"/>
            <w:tcBorders>
              <w:top w:val="single" w:color="auto" w:sz="4" w:space="0"/>
              <w:left w:val="single" w:color="auto" w:sz="4" w:space="0"/>
              <w:bottom w:val="single" w:color="auto" w:sz="4" w:space="0"/>
            </w:tcBorders>
            <w:vAlign w:val="center"/>
          </w:tcPr>
          <w:p>
            <w:pPr>
              <w:pStyle w:val="20"/>
              <w:bidi w:val="0"/>
            </w:pPr>
            <w:r>
              <w:rPr>
                <w:rFonts w:hint="eastAsia"/>
                <w:lang w:eastAsia="zh-CN"/>
              </w:rPr>
              <w:t>清远市清环环保有限公司清远市城市污泥资源化利用项目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6" w:type="pct"/>
            <w:gridSpan w:val="5"/>
            <w:tcBorders>
              <w:top w:val="single" w:color="auto" w:sz="4" w:space="0"/>
              <w:left w:val="single" w:color="auto" w:sz="4" w:space="0"/>
              <w:bottom w:val="single" w:color="auto" w:sz="4" w:space="0"/>
            </w:tcBorders>
            <w:vAlign w:val="center"/>
          </w:tcPr>
          <w:p>
            <w:pPr>
              <w:pStyle w:val="20"/>
              <w:bidi w:val="0"/>
              <w:rPr>
                <w:rFonts w:ascii="仿宋" w:hAnsi="仿宋" w:eastAsia="仿宋" w:cs="Times New Roman"/>
                <w:szCs w:val="21"/>
              </w:rPr>
            </w:pPr>
            <w:r>
              <w:rPr>
                <w:rFonts w:hint="eastAsia"/>
                <w:color w:val="auto"/>
              </w:rPr>
              <w:t>清远市清城区横荷街道C8号区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6"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6" w:type="pct"/>
            <w:gridSpan w:val="5"/>
            <w:tcBorders>
              <w:top w:val="single" w:color="auto" w:sz="4" w:space="0"/>
              <w:left w:val="single" w:color="auto" w:sz="4" w:space="0"/>
              <w:bottom w:val="single" w:color="auto" w:sz="4" w:space="0"/>
            </w:tcBorders>
            <w:vAlign w:val="center"/>
          </w:tcPr>
          <w:p>
            <w:pPr>
              <w:pStyle w:val="20"/>
              <w:bidi w:val="0"/>
              <w:rPr>
                <w:rFonts w:hint="default" w:ascii="仿宋" w:hAnsi="仿宋" w:eastAsia="仿宋" w:cs="Times New Roman"/>
                <w:szCs w:val="21"/>
                <w:lang w:val="en-US" w:eastAsia="zh-CN"/>
              </w:rPr>
            </w:pPr>
            <w:r>
              <w:rPr>
                <w:rFonts w:hint="eastAsia"/>
                <w:kern w:val="0"/>
                <w:sz w:val="21"/>
                <w:szCs w:val="21"/>
                <w:lang w:val="en-US" w:eastAsia="zh-CN"/>
              </w:rPr>
              <w:t>谭</w:t>
            </w:r>
            <w:r>
              <w:rPr>
                <w:rFonts w:hint="eastAsia"/>
                <w:lang w:val="en-US" w:eastAsia="zh-CN"/>
              </w:rPr>
              <w:t>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6"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6" w:type="pct"/>
            <w:gridSpan w:val="5"/>
            <w:tcBorders>
              <w:top w:val="single" w:color="auto" w:sz="4" w:space="0"/>
              <w:left w:val="single" w:color="auto" w:sz="4" w:space="0"/>
              <w:bottom w:val="single" w:color="auto" w:sz="4" w:space="0"/>
            </w:tcBorders>
            <w:vAlign w:val="center"/>
          </w:tcPr>
          <w:p>
            <w:pPr>
              <w:pStyle w:val="21"/>
              <w:bidi w:val="0"/>
              <w:jc w:val="both"/>
              <w:rPr>
                <w:rFonts w:hint="eastAsia" w:eastAsia="仿宋"/>
                <w:vertAlign w:val="baseline"/>
                <w:lang w:val="en-US" w:eastAsia="zh-CN"/>
              </w:rPr>
            </w:pPr>
            <w:r>
              <w:rPr>
                <w:rFonts w:hint="eastAsia"/>
              </w:rPr>
              <w:t>项目总投资约6900万元，规划处理污泥130吨/日（含水率80%），最大处理能力达165吨/日，可接纳清远市清城区及清新区内现有的城镇污水处理厂产生的污泥</w:t>
            </w:r>
            <w:r>
              <w:rPr>
                <w:rFonts w:hint="eastAsia"/>
                <w:lang w:eastAsia="zh-CN"/>
              </w:rPr>
              <w:t>。主体工程内容包括污泥混料系统、发酵系统、办公楼（含实验室）等。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5" w:type="pct"/>
            <w:tcBorders>
              <w:top w:val="single" w:color="auto" w:sz="4" w:space="0"/>
              <w:left w:val="single" w:color="auto" w:sz="4" w:space="0"/>
              <w:bottom w:val="single" w:color="auto" w:sz="4" w:space="0"/>
            </w:tcBorders>
            <w:vAlign w:val="center"/>
          </w:tcPr>
          <w:p>
            <w:pPr>
              <w:pStyle w:val="20"/>
              <w:bidi w:val="0"/>
              <w:rPr>
                <w:rFonts w:hint="default"/>
                <w:lang w:val="en-US"/>
              </w:rPr>
            </w:pPr>
            <w:r>
              <w:rPr>
                <w:rFonts w:hint="eastAsia"/>
                <w:lang w:val="en-US" w:eastAsia="zh-CN"/>
              </w:rPr>
              <w:t>饶望冬、</w:t>
            </w:r>
            <w:r>
              <w:t>赵文朋</w:t>
            </w:r>
          </w:p>
        </w:tc>
        <w:tc>
          <w:tcPr>
            <w:tcW w:w="659" w:type="pct"/>
            <w:tcBorders>
              <w:top w:val="single" w:color="auto" w:sz="4" w:space="0"/>
              <w:left w:val="single" w:color="auto" w:sz="4" w:space="0"/>
              <w:bottom w:val="single" w:color="auto" w:sz="4" w:space="0"/>
            </w:tcBorders>
            <w:vAlign w:val="center"/>
          </w:tcPr>
          <w:p>
            <w:pPr>
              <w:pStyle w:val="20"/>
              <w:bidi w:val="0"/>
            </w:pPr>
            <w:r>
              <w:rPr>
                <w:rFonts w:hint="eastAsia"/>
              </w:rPr>
              <w:t>调查时间</w:t>
            </w:r>
          </w:p>
        </w:tc>
        <w:tc>
          <w:tcPr>
            <w:tcW w:w="959" w:type="pct"/>
            <w:tcBorders>
              <w:top w:val="single" w:color="auto" w:sz="4" w:space="0"/>
              <w:left w:val="single" w:color="auto" w:sz="4" w:space="0"/>
              <w:bottom w:val="single" w:color="auto" w:sz="4" w:space="0"/>
            </w:tcBorders>
            <w:vAlign w:val="center"/>
          </w:tcPr>
          <w:p>
            <w:pPr>
              <w:pStyle w:val="20"/>
              <w:bidi w:val="0"/>
              <w:rPr>
                <w:rFonts w:hint="default"/>
                <w:lang w:val="en-US" w:eastAsia="zh-CN"/>
              </w:rPr>
            </w:pPr>
            <w:r>
              <w:rPr>
                <w:rFonts w:hint="eastAsia"/>
              </w:rPr>
              <w:t>202</w:t>
            </w:r>
            <w:r>
              <w:rPr>
                <w:rFonts w:hint="eastAsia"/>
                <w:lang w:val="en-US" w:eastAsia="zh-CN"/>
              </w:rPr>
              <w:t>1.5.10</w:t>
            </w:r>
          </w:p>
        </w:tc>
        <w:tc>
          <w:tcPr>
            <w:tcW w:w="501" w:type="pct"/>
            <w:tcBorders>
              <w:top w:val="single" w:color="auto" w:sz="4" w:space="0"/>
              <w:left w:val="single" w:color="auto" w:sz="4" w:space="0"/>
              <w:bottom w:val="single" w:color="auto" w:sz="4" w:space="0"/>
            </w:tcBorders>
            <w:vAlign w:val="center"/>
          </w:tcPr>
          <w:p>
            <w:pPr>
              <w:pStyle w:val="20"/>
              <w:bidi w:val="0"/>
            </w:pPr>
            <w:r>
              <w:rPr>
                <w:rFonts w:hint="eastAsia"/>
              </w:rPr>
              <w:t>陪同人</w:t>
            </w:r>
          </w:p>
        </w:tc>
        <w:tc>
          <w:tcPr>
            <w:tcW w:w="500" w:type="pct"/>
            <w:tcBorders>
              <w:top w:val="single" w:color="auto" w:sz="4" w:space="0"/>
              <w:left w:val="single" w:color="auto" w:sz="4" w:space="0"/>
              <w:bottom w:val="single" w:color="auto" w:sz="4" w:space="0"/>
            </w:tcBorders>
            <w:vAlign w:val="center"/>
          </w:tcPr>
          <w:p>
            <w:pPr>
              <w:pStyle w:val="20"/>
              <w:bidi w:val="0"/>
            </w:pPr>
            <w:r>
              <w:rPr>
                <w:rFonts w:hint="eastAsia"/>
                <w:kern w:val="0"/>
                <w:sz w:val="21"/>
                <w:szCs w:val="21"/>
                <w:lang w:val="en-US" w:eastAsia="zh-CN"/>
              </w:rPr>
              <w:t>谭先生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5" w:type="pct"/>
            <w:tcBorders>
              <w:top w:val="single" w:color="auto" w:sz="4" w:space="0"/>
              <w:left w:val="single" w:color="auto" w:sz="4" w:space="0"/>
              <w:bottom w:val="single" w:color="auto" w:sz="4" w:space="0"/>
            </w:tcBorders>
            <w:vAlign w:val="center"/>
          </w:tcPr>
          <w:p>
            <w:pPr>
              <w:pStyle w:val="20"/>
              <w:bidi w:val="0"/>
              <w:rPr>
                <w:rFonts w:hint="eastAsia"/>
                <w:lang w:eastAsia="zh-CN"/>
              </w:rPr>
            </w:pPr>
            <w:r>
              <w:rPr>
                <w:rFonts w:hint="eastAsia"/>
              </w:rPr>
              <w:t>王一波、钟智润、</w:t>
            </w:r>
            <w:r>
              <w:t>陈锦贤</w:t>
            </w:r>
          </w:p>
        </w:tc>
        <w:tc>
          <w:tcPr>
            <w:tcW w:w="659" w:type="pct"/>
            <w:tcBorders>
              <w:top w:val="single" w:color="auto" w:sz="4" w:space="0"/>
              <w:left w:val="single" w:color="auto" w:sz="4" w:space="0"/>
              <w:bottom w:val="single" w:color="auto" w:sz="4" w:space="0"/>
            </w:tcBorders>
            <w:vAlign w:val="center"/>
          </w:tcPr>
          <w:p>
            <w:pPr>
              <w:pStyle w:val="20"/>
              <w:bidi w:val="0"/>
            </w:pPr>
            <w:r>
              <w:rPr>
                <w:rFonts w:hint="eastAsia"/>
              </w:rPr>
              <w:t>检测时间</w:t>
            </w:r>
          </w:p>
        </w:tc>
        <w:tc>
          <w:tcPr>
            <w:tcW w:w="959" w:type="pct"/>
            <w:tcBorders>
              <w:top w:val="single" w:color="auto" w:sz="4" w:space="0"/>
              <w:left w:val="single" w:color="auto" w:sz="4" w:space="0"/>
              <w:bottom w:val="single" w:color="auto" w:sz="4" w:space="0"/>
            </w:tcBorders>
            <w:vAlign w:val="center"/>
          </w:tcPr>
          <w:p>
            <w:pPr>
              <w:pStyle w:val="20"/>
              <w:bidi w:val="0"/>
              <w:rPr>
                <w:rFonts w:hint="default"/>
                <w:lang w:val="en-US" w:eastAsia="zh-CN"/>
              </w:rPr>
            </w:pPr>
            <w:r>
              <w:rPr>
                <w:rFonts w:hint="eastAsia"/>
              </w:rPr>
              <w:t>202</w:t>
            </w:r>
            <w:r>
              <w:rPr>
                <w:rFonts w:hint="eastAsia"/>
                <w:lang w:val="en-US" w:eastAsia="zh-CN"/>
              </w:rPr>
              <w:t>1.5.17</w:t>
            </w:r>
            <w:r>
              <w:rPr>
                <w:rFonts w:hint="eastAsia"/>
              </w:rPr>
              <w:t>~</w:t>
            </w:r>
            <w:r>
              <w:rPr>
                <w:rFonts w:hint="eastAsia"/>
                <w:lang w:val="en-US" w:eastAsia="zh-CN"/>
              </w:rPr>
              <w:t>19</w:t>
            </w:r>
          </w:p>
        </w:tc>
        <w:tc>
          <w:tcPr>
            <w:tcW w:w="501" w:type="pct"/>
            <w:tcBorders>
              <w:top w:val="single" w:color="auto" w:sz="4" w:space="0"/>
              <w:left w:val="single" w:color="auto" w:sz="4" w:space="0"/>
              <w:bottom w:val="single" w:color="auto" w:sz="4" w:space="0"/>
            </w:tcBorders>
            <w:vAlign w:val="center"/>
          </w:tcPr>
          <w:p>
            <w:pPr>
              <w:pStyle w:val="20"/>
              <w:bidi w:val="0"/>
            </w:pPr>
            <w:r>
              <w:rPr>
                <w:rFonts w:hint="eastAsia"/>
              </w:rPr>
              <w:t>陪同人</w:t>
            </w:r>
          </w:p>
        </w:tc>
        <w:tc>
          <w:tcPr>
            <w:tcW w:w="500" w:type="pct"/>
            <w:tcBorders>
              <w:top w:val="single" w:color="auto" w:sz="4" w:space="0"/>
              <w:left w:val="single" w:color="auto" w:sz="4" w:space="0"/>
              <w:bottom w:val="single" w:color="auto" w:sz="4" w:space="0"/>
            </w:tcBorders>
            <w:vAlign w:val="center"/>
          </w:tcPr>
          <w:p>
            <w:pPr>
              <w:pStyle w:val="20"/>
              <w:bidi w:val="0"/>
            </w:pPr>
            <w:r>
              <w:rPr>
                <w:rFonts w:hint="eastAsia"/>
                <w:kern w:val="0"/>
                <w:sz w:val="21"/>
                <w:szCs w:val="21"/>
                <w:lang w:val="en-US" w:eastAsia="zh-CN"/>
              </w:rPr>
              <w:t>谭先生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2"/>
              <w:bidi w:val="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rPr>
              <w:t>氨、硫化氢、其他粉尘、噪声。</w:t>
            </w:r>
            <w:r>
              <w:rPr>
                <w:rFonts w:hint="eastAsia"/>
                <w:lang w:val="en-US" w:eastAsia="zh-CN"/>
              </w:rPr>
              <w:t>经检测，各岗位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2"/>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2"/>
              <w:bidi w:val="0"/>
              <w:rPr>
                <w:rFonts w:ascii="仿宋" w:hAnsi="仿宋" w:eastAsia="仿宋" w:cs="Times New Roman"/>
                <w:szCs w:val="21"/>
              </w:rPr>
            </w:pPr>
            <w:r>
              <w:rPr>
                <w:rFonts w:hint="eastAsia"/>
              </w:rPr>
              <w:t>建议：</w:t>
            </w:r>
            <w:r>
              <w:t>1</w:t>
            </w:r>
            <w:r>
              <w:rPr>
                <w:rFonts w:hint="eastAsia"/>
              </w:rPr>
              <w:t>）</w:t>
            </w:r>
            <w:r>
              <w:rPr>
                <w:rFonts w:hint="eastAsia" w:ascii="Times New Roman" w:hAnsi="Times New Roman" w:cs="Times New Roman"/>
                <w:bCs/>
                <w:color w:val="auto"/>
                <w:szCs w:val="28"/>
              </w:rPr>
              <w:t>建设项目在生产规模、工艺或者职业病危害因素的种类、防护设施等发生变更时，应当按照有关规定对变更内容重新进行职业病危害评价</w:t>
            </w:r>
            <w:r>
              <w:t>。</w:t>
            </w:r>
            <w:r>
              <w:rPr>
                <w:rFonts w:hint="eastAsia"/>
              </w:rPr>
              <w:t>2）</w:t>
            </w:r>
            <w:r>
              <w:rPr>
                <w:rFonts w:hint="eastAsia"/>
                <w:color w:val="auto"/>
                <w:kern w:val="28"/>
              </w:rPr>
              <w:t>按照</w:t>
            </w:r>
            <w:r>
              <w:rPr>
                <w:color w:val="auto"/>
                <w:kern w:val="28"/>
              </w:rPr>
              <w:t>《工作场所职业卫生管理规定》（中华人民共和国国家卫生健康委员会令第5号，2021年）</w:t>
            </w:r>
            <w:r>
              <w:rPr>
                <w:rFonts w:hint="eastAsia"/>
                <w:color w:val="auto"/>
                <w:kern w:val="28"/>
              </w:rPr>
              <w:t>的要求，加强该项目的职业卫生管理工作，应做好每三年一次的作业场所职业病危害因素定期检测工作，检测、评价结果应当存入本单位职业卫生档案</w:t>
            </w:r>
            <w:r>
              <w:t>。</w:t>
            </w:r>
            <w:r>
              <w:rPr>
                <w:rFonts w:hint="eastAsia"/>
              </w:rPr>
              <w:t>3）</w:t>
            </w:r>
            <w:r>
              <w:rPr>
                <w:rFonts w:hint="eastAsia"/>
                <w:color w:val="auto"/>
                <w:lang w:val="en-US" w:eastAsia="zh-CN"/>
              </w:rPr>
              <w:t>加强人员职业培训，监督落实个人防护用品的佩戴，开展突发职业中毒的应急救援演练等</w:t>
            </w:r>
            <w:r>
              <w:t>。</w:t>
            </w:r>
            <w:r>
              <w:rPr>
                <w:rFonts w:hint="eastAsia"/>
              </w:rPr>
              <w:t>4）</w:t>
            </w:r>
            <w:r>
              <w:rPr>
                <w:rFonts w:hint="eastAsia"/>
                <w:color w:val="auto"/>
              </w:rPr>
              <w:t>加强有限空间作业的监督管理，</w:t>
            </w:r>
            <w:r>
              <w:rPr>
                <w:rFonts w:hint="eastAsia"/>
                <w:color w:val="auto"/>
                <w:lang w:val="zh-CN"/>
              </w:rPr>
              <w:t>实施有限空间作业</w:t>
            </w:r>
            <w:r>
              <w:rPr>
                <w:rFonts w:hint="eastAsia"/>
                <w:color w:val="auto"/>
              </w:rPr>
              <w:t>应</w:t>
            </w:r>
            <w:r>
              <w:rPr>
                <w:rFonts w:hint="eastAsia"/>
                <w:color w:val="auto"/>
                <w:lang w:val="zh-CN"/>
              </w:rPr>
              <w:t>严格执行“先通风、先检测、后作业”的原则，未经通风和检测，未经作业负责人审批，任何人不得进入有限空间作业，在作业过程中，现场必须有负责人员、监护人员。严格执行安全管理培训制度，并做好相关的培训记录，未经培训合格不得上岗。在有限空间进入点附近设置醒目的警示标志，并告知作业者存在的危险危害因素和防控措施。按照相关规定定期对应急救援设施、职业病防护设施进行保养维护，以保证其正常运行。</w:t>
            </w:r>
            <w:bookmarkStart w:id="1" w:name="_GoBack"/>
            <w:bookmarkEnd w:id="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2"/>
              <w:bidi w:val="0"/>
              <w:rPr>
                <w:rFonts w:hint="eastAsia"/>
                <w:lang w:eastAsia="zh-CN"/>
              </w:rPr>
            </w:pPr>
            <w:r>
              <w:rPr>
                <w:rFonts w:hint="eastAsia"/>
              </w:rPr>
              <w:t>1）</w:t>
            </w:r>
            <w:r>
              <w:rPr>
                <w:rFonts w:hint="eastAsia"/>
                <w:lang w:val="en-US" w:eastAsia="zh-CN"/>
              </w:rPr>
              <w:t>补充车间通风设施调查与分析</w:t>
            </w:r>
            <w:r>
              <w:rPr>
                <w:rFonts w:hint="eastAsia"/>
              </w:rPr>
              <w:t>；2）</w:t>
            </w:r>
            <w:r>
              <w:rPr>
                <w:rFonts w:hint="eastAsia"/>
                <w:lang w:val="en-US" w:eastAsia="zh-CN"/>
              </w:rPr>
              <w:t>完善应急救援设施的调查与分析并补充硫化氢、氨气等报警设备的报警值、设置位置、数量</w:t>
            </w:r>
            <w:r>
              <w:rPr>
                <w:rFonts w:hint="eastAsia"/>
                <w:lang w:eastAsia="zh-CN"/>
              </w:rPr>
              <w:t>；</w:t>
            </w:r>
            <w:r>
              <w:rPr>
                <w:rFonts w:hint="eastAsia"/>
                <w:lang w:val="en-US" w:eastAsia="zh-CN"/>
              </w:rPr>
              <w:t>3）</w:t>
            </w:r>
            <w:r>
              <w:rPr>
                <w:rFonts w:hint="eastAsia"/>
              </w:rPr>
              <w:t>专家提出的其他个人意见</w:t>
            </w:r>
            <w:r>
              <w:rPr>
                <w:rFonts w:hint="eastAsia"/>
                <w:lang w:eastAsia="zh-CN"/>
              </w:rPr>
              <w:t>；</w:t>
            </w:r>
          </w:p>
          <w:p>
            <w:pPr>
              <w:pStyle w:val="22"/>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41B0A5C"/>
    <w:rsid w:val="057A17B3"/>
    <w:rsid w:val="0721282E"/>
    <w:rsid w:val="076B3AA9"/>
    <w:rsid w:val="095C7B4D"/>
    <w:rsid w:val="0CE95B9C"/>
    <w:rsid w:val="0DE62C9D"/>
    <w:rsid w:val="0FA933C0"/>
    <w:rsid w:val="1285363F"/>
    <w:rsid w:val="156D6C3E"/>
    <w:rsid w:val="1AF71484"/>
    <w:rsid w:val="1C112A19"/>
    <w:rsid w:val="1C250273"/>
    <w:rsid w:val="1C3F7586"/>
    <w:rsid w:val="21676C37"/>
    <w:rsid w:val="23DA7B95"/>
    <w:rsid w:val="24953C51"/>
    <w:rsid w:val="2A120388"/>
    <w:rsid w:val="2DD6761F"/>
    <w:rsid w:val="2E0C3040"/>
    <w:rsid w:val="2EEA6615"/>
    <w:rsid w:val="2F1C72B3"/>
    <w:rsid w:val="3045283A"/>
    <w:rsid w:val="31510E64"/>
    <w:rsid w:val="35FA1ACA"/>
    <w:rsid w:val="35FC399A"/>
    <w:rsid w:val="3793032E"/>
    <w:rsid w:val="38857FA0"/>
    <w:rsid w:val="3E79027E"/>
    <w:rsid w:val="406665E0"/>
    <w:rsid w:val="42EB101F"/>
    <w:rsid w:val="436C1B2E"/>
    <w:rsid w:val="472B2331"/>
    <w:rsid w:val="4D714816"/>
    <w:rsid w:val="4E9D1D67"/>
    <w:rsid w:val="50642410"/>
    <w:rsid w:val="51A57D4C"/>
    <w:rsid w:val="577371DA"/>
    <w:rsid w:val="58580AAD"/>
    <w:rsid w:val="63427A00"/>
    <w:rsid w:val="655231F2"/>
    <w:rsid w:val="6A116D0D"/>
    <w:rsid w:val="6DFA4688"/>
    <w:rsid w:val="6E0B3951"/>
    <w:rsid w:val="6EBC193D"/>
    <w:rsid w:val="6F897E6A"/>
    <w:rsid w:val="70E46F2A"/>
    <w:rsid w:val="76397D18"/>
    <w:rsid w:val="765042C1"/>
    <w:rsid w:val="766308F1"/>
    <w:rsid w:val="791912D1"/>
    <w:rsid w:val="7A7E219D"/>
    <w:rsid w:val="7AC04563"/>
    <w:rsid w:val="7BC40083"/>
    <w:rsid w:val="7BEE3352"/>
    <w:rsid w:val="7DCF4ABD"/>
    <w:rsid w:val="7E2766A8"/>
    <w:rsid w:val="7EDC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styleId="4">
    <w:name w:val="annotation text"/>
    <w:basedOn w:val="1"/>
    <w:link w:val="17"/>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排版正文 Char Char"/>
    <w:link w:val="15"/>
    <w:qFormat/>
    <w:locked/>
    <w:uiPriority w:val="0"/>
    <w:rPr>
      <w:rFonts w:ascii="仿宋_GB2312" w:hAnsi="Times New Roman" w:eastAsia="仿宋_GB2312"/>
      <w:spacing w:val="8"/>
      <w:sz w:val="28"/>
      <w:szCs w:val="21"/>
    </w:rPr>
  </w:style>
  <w:style w:type="paragraph" w:customStyle="1" w:styleId="15">
    <w:name w:val="排版正文"/>
    <w:link w:val="14"/>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6">
    <w:name w:val="List Paragraph"/>
    <w:basedOn w:val="1"/>
    <w:qFormat/>
    <w:uiPriority w:val="34"/>
    <w:pPr>
      <w:ind w:firstLine="420" w:firstLineChars="200"/>
    </w:pPr>
  </w:style>
  <w:style w:type="character" w:customStyle="1" w:styleId="17">
    <w:name w:val="批注文字 Char"/>
    <w:basedOn w:val="10"/>
    <w:link w:val="4"/>
    <w:semiHidden/>
    <w:qFormat/>
    <w:uiPriority w:val="99"/>
  </w:style>
  <w:style w:type="character" w:customStyle="1" w:styleId="18">
    <w:name w:val="批注主题 Char"/>
    <w:basedOn w:val="17"/>
    <w:link w:val="8"/>
    <w:semiHidden/>
    <w:qFormat/>
    <w:uiPriority w:val="99"/>
    <w:rPr>
      <w:b/>
      <w:bCs/>
    </w:rPr>
  </w:style>
  <w:style w:type="character" w:customStyle="1" w:styleId="19">
    <w:name w:val="批注框文本 Char"/>
    <w:basedOn w:val="10"/>
    <w:link w:val="5"/>
    <w:semiHidden/>
    <w:qFormat/>
    <w:uiPriority w:val="99"/>
    <w:rPr>
      <w:sz w:val="18"/>
      <w:szCs w:val="18"/>
    </w:rPr>
  </w:style>
  <w:style w:type="paragraph" w:customStyle="1" w:styleId="20">
    <w:name w:val="表格内容居中"/>
    <w:basedOn w:val="1"/>
    <w:link w:val="23"/>
    <w:qFormat/>
    <w:uiPriority w:val="0"/>
    <w:pPr>
      <w:spacing w:line="340" w:lineRule="exact"/>
      <w:jc w:val="center"/>
    </w:pPr>
    <w:rPr>
      <w:rFonts w:hint="eastAsia" w:ascii="仿宋" w:hAnsi="仿宋" w:eastAsia="仿宋" w:cs="Times New Roman"/>
      <w:szCs w:val="21"/>
    </w:rPr>
  </w:style>
  <w:style w:type="paragraph" w:customStyle="1" w:styleId="21">
    <w:name w:val="表格内容靠左"/>
    <w:basedOn w:val="1"/>
    <w:link w:val="24"/>
    <w:qFormat/>
    <w:uiPriority w:val="0"/>
    <w:pPr>
      <w:spacing w:line="340" w:lineRule="exact"/>
      <w:jc w:val="left"/>
    </w:pPr>
    <w:rPr>
      <w:rFonts w:hint="eastAsia" w:ascii="仿宋" w:hAnsi="仿宋" w:eastAsia="仿宋" w:cs="Times New Roman"/>
      <w:szCs w:val="21"/>
    </w:rPr>
  </w:style>
  <w:style w:type="paragraph" w:customStyle="1" w:styleId="22">
    <w:name w:val="段落"/>
    <w:basedOn w:val="1"/>
    <w:link w:val="25"/>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3">
    <w:name w:val="表格内容居中 Char"/>
    <w:link w:val="20"/>
    <w:qFormat/>
    <w:uiPriority w:val="0"/>
    <w:rPr>
      <w:rFonts w:hint="eastAsia" w:ascii="仿宋" w:hAnsi="仿宋" w:eastAsia="仿宋" w:cs="Times New Roman"/>
      <w:szCs w:val="21"/>
    </w:rPr>
  </w:style>
  <w:style w:type="character" w:customStyle="1" w:styleId="24">
    <w:name w:val="表格内容靠左 Char"/>
    <w:link w:val="21"/>
    <w:qFormat/>
    <w:uiPriority w:val="0"/>
    <w:rPr>
      <w:rFonts w:hint="eastAsia" w:ascii="仿宋" w:hAnsi="仿宋" w:eastAsia="仿宋" w:cs="Times New Roman"/>
      <w:szCs w:val="21"/>
    </w:rPr>
  </w:style>
  <w:style w:type="character" w:customStyle="1" w:styleId="25">
    <w:name w:val="段落 Char"/>
    <w:link w:val="22"/>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1076</Words>
  <Characters>1108</Characters>
  <Lines>9</Lines>
  <Paragraphs>2</Paragraphs>
  <TotalTime>0</TotalTime>
  <ScaleCrop>false</ScaleCrop>
  <LinksUpToDate>false</LinksUpToDate>
  <CharactersWithSpaces>1127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2023-05-12T01:19:57Z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280D9E544B2D4CE9AFDD1ECF9D6173EE_13</vt:lpwstr>
  </property>
</Properties>
</file>