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立中锦山（英德）合金有限公司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立中锦山（英德）合金有限公司年产60000吨铝合金液建设项目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val="en-US" w:eastAsia="zh-CN"/>
              </w:rPr>
              <w:t>英德市英红镇广德园中南产业片区西横六路6号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该项目总投资6500万人民币，年产量为铝液60000t，项目具体包括：铝液车间、裘灰车间、空压机房、配电房、实验室、物料储存车间、液氮罐区、维修间。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黄倩雯、赵文朋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2.5.04</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甄嘉城、陈金铨、陈锦贤</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rPr>
              <w:t>202</w:t>
            </w:r>
            <w:r>
              <w:rPr>
                <w:rFonts w:hint="eastAsia"/>
                <w:lang w:val="en-US" w:eastAsia="zh-CN"/>
              </w:rPr>
              <w:t>2.5.11</w:t>
            </w:r>
            <w:r>
              <w:rPr>
                <w:rFonts w:hint="eastAsia"/>
              </w:rPr>
              <w:t>~</w:t>
            </w:r>
            <w:r>
              <w:rPr>
                <w:rFonts w:hint="eastAsia"/>
                <w:lang w:val="en-US" w:eastAsia="zh-CN"/>
              </w:rPr>
              <w:t>13</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铝合金粉尘、电焊烟尘、砂轮磨尘、锰及其化合物、氮氧化合物、臭氧、一氧化碳、铜烟、氧化镁烟、噪声、高温、紫外线、手传振动。</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建设项目在生产规模、工艺或者职业病危害因素的种类、防护设施等发生变更时，应当按照有关规定对变更内容重新进行职业病危害评价</w:t>
            </w:r>
            <w:r>
              <w:t>。</w:t>
            </w:r>
            <w:r>
              <w:rPr>
                <w:rFonts w:hint="eastAsia"/>
              </w:rPr>
              <w:t>2）</w:t>
            </w:r>
            <w:r>
              <w:rPr>
                <w:rFonts w:hint="eastAsia"/>
                <w:color w:val="auto"/>
                <w:kern w:val="28"/>
              </w:rPr>
              <w:t>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补充炉组维保职业病危害因素识别与分析评价</w:t>
            </w:r>
            <w:r>
              <w:rPr>
                <w:rFonts w:hint="eastAsia"/>
              </w:rPr>
              <w:t>；2）</w:t>
            </w:r>
            <w:r>
              <w:rPr>
                <w:rFonts w:hint="eastAsia"/>
                <w:lang w:val="en-US" w:eastAsia="zh-CN"/>
              </w:rPr>
              <w:t>完善应急救援设施分析评价</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bookmarkStart w:id="0" w:name="_GoBack"/>
            <w:bookmarkEnd w:id="0"/>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D714816"/>
    <w:rsid w:val="4E9D1D67"/>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1185</Words>
  <Characters>1217</Characters>
  <Lines>9</Lines>
  <Paragraphs>2</Paragraphs>
  <TotalTime>0</TotalTime>
  <ScaleCrop>false</ScaleCrop>
  <LinksUpToDate>false</LinksUpToDate>
  <CharactersWithSpaces>1236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2023-05-12T02:31:18Z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98411A67F50E48408FCC4CECC6BA76D0_13</vt:lpwstr>
  </property>
</Properties>
</file>