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91"/>
        <w:gridCol w:w="2534"/>
        <w:gridCol w:w="1173"/>
        <w:gridCol w:w="1705"/>
        <w:gridCol w:w="890"/>
        <w:gridCol w:w="9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95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048" w:type="pct"/>
            <w:gridSpan w:val="5"/>
            <w:tcBorders>
              <w:top w:val="single" w:color="auto" w:sz="4" w:space="0"/>
              <w:left w:val="single" w:color="auto" w:sz="4" w:space="0"/>
              <w:bottom w:val="single" w:color="auto" w:sz="4" w:space="0"/>
            </w:tcBorders>
            <w:vAlign w:val="center"/>
          </w:tcPr>
          <w:p>
            <w:pPr>
              <w:pStyle w:val="23"/>
              <w:bidi w:val="0"/>
              <w:rPr>
                <w:rFonts w:ascii="仿宋" w:hAnsi="仿宋" w:eastAsia="仿宋" w:cs="Times New Roman"/>
                <w:szCs w:val="21"/>
              </w:rPr>
            </w:pPr>
            <w:r>
              <w:rPr>
                <w:rFonts w:hint="eastAsia"/>
                <w:color w:val="auto"/>
                <w:lang w:eastAsia="zh-CN"/>
              </w:rPr>
              <w:t>捷普电子（广州）有限公司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048" w:type="pct"/>
            <w:gridSpan w:val="5"/>
            <w:tcBorders>
              <w:top w:val="single" w:color="auto" w:sz="4" w:space="0"/>
              <w:left w:val="single" w:color="auto" w:sz="4" w:space="0"/>
              <w:bottom w:val="single" w:color="auto" w:sz="4" w:space="0"/>
            </w:tcBorders>
            <w:vAlign w:val="center"/>
          </w:tcPr>
          <w:p>
            <w:pPr>
              <w:pStyle w:val="23"/>
              <w:bidi w:val="0"/>
            </w:pPr>
            <w:r>
              <w:rPr>
                <w:rFonts w:hint="eastAsia"/>
                <w:lang w:eastAsia="zh-CN"/>
              </w:rPr>
              <w:t>捷普电子（广州）有限公司E&amp;E厂 Building-A Tesla二楼工程项目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048" w:type="pct"/>
            <w:gridSpan w:val="5"/>
            <w:tcBorders>
              <w:top w:val="single" w:color="auto" w:sz="4" w:space="0"/>
              <w:left w:val="single" w:color="auto" w:sz="4" w:space="0"/>
              <w:bottom w:val="single" w:color="auto" w:sz="4" w:space="0"/>
            </w:tcBorders>
            <w:vAlign w:val="center"/>
          </w:tcPr>
          <w:p>
            <w:pPr>
              <w:pStyle w:val="23"/>
              <w:bidi w:val="0"/>
            </w:pPr>
            <w:r>
              <w:rPr>
                <w:rFonts w:hint="eastAsia"/>
                <w:lang w:val="en-US" w:eastAsia="zh-CN"/>
              </w:rPr>
              <w:t>广州市黄埔区连云路388号E&amp;E厂区A栋厂房2楼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048"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t>□</w:t>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52"/>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扩建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技术改造</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048" w:type="pct"/>
            <w:gridSpan w:val="5"/>
            <w:tcBorders>
              <w:top w:val="single" w:color="auto" w:sz="4" w:space="0"/>
              <w:left w:val="single" w:color="auto" w:sz="4" w:space="0"/>
              <w:bottom w:val="single" w:color="auto" w:sz="4" w:space="0"/>
            </w:tcBorders>
            <w:vAlign w:val="center"/>
          </w:tcPr>
          <w:p>
            <w:pPr>
              <w:pStyle w:val="23"/>
              <w:bidi w:val="0"/>
              <w:rPr>
                <w:rFonts w:hint="default" w:ascii="仿宋" w:hAnsi="仿宋" w:eastAsia="仿宋" w:cs="Times New Roman"/>
                <w:szCs w:val="21"/>
                <w:lang w:val="en-US" w:eastAsia="zh-CN"/>
              </w:rPr>
            </w:pPr>
            <w:r>
              <w:rPr>
                <w:rFonts w:hint="eastAsia"/>
                <w:kern w:val="0"/>
                <w:sz w:val="21"/>
                <w:szCs w:val="21"/>
                <w:lang w:val="en-US" w:eastAsia="zh-CN"/>
              </w:rPr>
              <w:t>王先生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95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48"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职业病危害预评价</w:t>
            </w:r>
            <w:r>
              <w:rPr>
                <w:rFonts w:hint="eastAsia" w:ascii="仿宋" w:hAnsi="仿宋" w:eastAsia="仿宋" w:cs="Times New Roman"/>
                <w:szCs w:val="21"/>
              </w:rPr>
              <w:sym w:font="Wingdings 2" w:char="00A3"/>
            </w:r>
            <w:r>
              <w:rPr>
                <w:rFonts w:hint="eastAsia" w:ascii="仿宋" w:hAnsi="仿宋" w:eastAsia="仿宋" w:cs="Times New Roman"/>
                <w:szCs w:val="21"/>
              </w:rPr>
              <w:t xml:space="preserve">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项目简介</w:t>
            </w:r>
          </w:p>
        </w:tc>
        <w:tc>
          <w:tcPr>
            <w:tcW w:w="4048" w:type="pct"/>
            <w:gridSpan w:val="5"/>
            <w:tcBorders>
              <w:top w:val="single" w:color="auto" w:sz="4" w:space="0"/>
              <w:left w:val="single" w:color="auto" w:sz="4" w:space="0"/>
              <w:bottom w:val="single" w:color="auto" w:sz="4" w:space="0"/>
            </w:tcBorders>
            <w:vAlign w:val="center"/>
          </w:tcPr>
          <w:p>
            <w:pPr>
              <w:pStyle w:val="24"/>
              <w:bidi w:val="0"/>
              <w:jc w:val="both"/>
              <w:rPr>
                <w:rFonts w:hint="default" w:eastAsia="仿宋"/>
                <w:vertAlign w:val="baseline"/>
                <w:lang w:val="en-US" w:eastAsia="zh-CN"/>
              </w:rPr>
            </w:pPr>
            <w:r>
              <w:rPr>
                <w:rFonts w:hint="eastAsia"/>
                <w:lang w:val="en-US" w:eastAsia="zh-CN"/>
              </w:rPr>
              <w:t>该项目设置生产线5条，年产PCS--电源交流直流电转换控制电路板480000件。项目主要组成：SMT车间、钢网清洗间、配电房、风机房、空调机房、废气处理装置。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95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424" w:type="pct"/>
            <w:tcBorders>
              <w:top w:val="single" w:color="auto" w:sz="4" w:space="0"/>
              <w:left w:val="single" w:color="auto" w:sz="4" w:space="0"/>
              <w:bottom w:val="single" w:color="auto" w:sz="4" w:space="0"/>
            </w:tcBorders>
            <w:vAlign w:val="center"/>
          </w:tcPr>
          <w:p>
            <w:pPr>
              <w:pStyle w:val="23"/>
              <w:bidi w:val="0"/>
              <w:rPr>
                <w:rFonts w:hint="default" w:eastAsia="仿宋"/>
                <w:lang w:val="en-US" w:eastAsia="zh-CN"/>
              </w:rPr>
            </w:pPr>
            <w:r>
              <w:rPr>
                <w:rFonts w:hint="eastAsia"/>
                <w:lang w:val="en-US" w:eastAsia="zh-CN"/>
              </w:rPr>
              <w:t>何曼静、赵文朋</w:t>
            </w:r>
          </w:p>
        </w:tc>
        <w:tc>
          <w:tcPr>
            <w:tcW w:w="659" w:type="pct"/>
            <w:tcBorders>
              <w:top w:val="single" w:color="auto" w:sz="4" w:space="0"/>
              <w:left w:val="single" w:color="auto" w:sz="4" w:space="0"/>
              <w:bottom w:val="single" w:color="auto" w:sz="4" w:space="0"/>
            </w:tcBorders>
            <w:vAlign w:val="center"/>
          </w:tcPr>
          <w:p>
            <w:pPr>
              <w:pStyle w:val="23"/>
              <w:bidi w:val="0"/>
            </w:pPr>
            <w:r>
              <w:rPr>
                <w:rFonts w:hint="eastAsia"/>
              </w:rPr>
              <w:t>调查时间</w:t>
            </w:r>
          </w:p>
        </w:tc>
        <w:tc>
          <w:tcPr>
            <w:tcW w:w="958" w:type="pct"/>
            <w:tcBorders>
              <w:top w:val="single" w:color="auto" w:sz="4" w:space="0"/>
              <w:left w:val="single" w:color="auto" w:sz="4" w:space="0"/>
              <w:bottom w:val="single" w:color="auto" w:sz="4" w:space="0"/>
            </w:tcBorders>
            <w:vAlign w:val="center"/>
          </w:tcPr>
          <w:p>
            <w:pPr>
              <w:pStyle w:val="23"/>
              <w:bidi w:val="0"/>
              <w:rPr>
                <w:rFonts w:hint="default"/>
                <w:lang w:val="en-US" w:eastAsia="zh-CN"/>
              </w:rPr>
            </w:pPr>
            <w:r>
              <w:rPr>
                <w:rFonts w:hint="eastAsia"/>
              </w:rPr>
              <w:t>202</w:t>
            </w:r>
            <w:r>
              <w:rPr>
                <w:rFonts w:hint="eastAsia"/>
                <w:lang w:val="en-US" w:eastAsia="zh-CN"/>
              </w:rPr>
              <w:t>2.5.19</w:t>
            </w:r>
          </w:p>
        </w:tc>
        <w:tc>
          <w:tcPr>
            <w:tcW w:w="500" w:type="pct"/>
            <w:tcBorders>
              <w:top w:val="single" w:color="auto" w:sz="4" w:space="0"/>
              <w:left w:val="single" w:color="auto" w:sz="4" w:space="0"/>
              <w:bottom w:val="single" w:color="auto" w:sz="4" w:space="0"/>
            </w:tcBorders>
            <w:vAlign w:val="center"/>
          </w:tcPr>
          <w:p>
            <w:pPr>
              <w:pStyle w:val="23"/>
              <w:bidi w:val="0"/>
            </w:pPr>
            <w:r>
              <w:rPr>
                <w:rFonts w:hint="eastAsia"/>
              </w:rPr>
              <w:t>陪同人</w:t>
            </w:r>
          </w:p>
        </w:tc>
        <w:tc>
          <w:tcPr>
            <w:tcW w:w="506" w:type="pct"/>
            <w:tcBorders>
              <w:top w:val="single" w:color="auto" w:sz="4" w:space="0"/>
              <w:left w:val="single" w:color="auto" w:sz="4" w:space="0"/>
              <w:bottom w:val="single" w:color="auto" w:sz="4" w:space="0"/>
            </w:tcBorders>
            <w:vAlign w:val="center"/>
          </w:tcPr>
          <w:p>
            <w:pPr>
              <w:pStyle w:val="23"/>
              <w:bidi w:val="0"/>
            </w:pPr>
            <w:r>
              <w:rPr>
                <w:rFonts w:hint="eastAsia"/>
                <w:kern w:val="0"/>
                <w:sz w:val="21"/>
                <w:szCs w:val="21"/>
                <w:lang w:val="en-US" w:eastAsia="zh-CN"/>
              </w:rPr>
              <w:t>王先生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424" w:type="pct"/>
            <w:tcBorders>
              <w:top w:val="single" w:color="auto" w:sz="4" w:space="0"/>
              <w:left w:val="single" w:color="auto" w:sz="4" w:space="0"/>
              <w:bottom w:val="single" w:color="auto" w:sz="4" w:space="0"/>
            </w:tcBorders>
            <w:vAlign w:val="center"/>
          </w:tcPr>
          <w:p>
            <w:pPr>
              <w:pStyle w:val="23"/>
              <w:bidi w:val="0"/>
              <w:rPr>
                <w:rFonts w:hint="eastAsia"/>
                <w:lang w:eastAsia="zh-CN"/>
              </w:rPr>
            </w:pPr>
            <w:r>
              <w:rPr>
                <w:rFonts w:hint="eastAsia"/>
                <w:lang w:val="en-US" w:eastAsia="zh-CN"/>
              </w:rPr>
              <w:t>何曼静、丁伦、陈锦贤</w:t>
            </w:r>
          </w:p>
        </w:tc>
        <w:tc>
          <w:tcPr>
            <w:tcW w:w="659" w:type="pct"/>
            <w:tcBorders>
              <w:top w:val="single" w:color="auto" w:sz="4" w:space="0"/>
              <w:left w:val="single" w:color="auto" w:sz="4" w:space="0"/>
              <w:bottom w:val="single" w:color="auto" w:sz="4" w:space="0"/>
            </w:tcBorders>
            <w:vAlign w:val="center"/>
          </w:tcPr>
          <w:p>
            <w:pPr>
              <w:pStyle w:val="23"/>
              <w:bidi w:val="0"/>
            </w:pPr>
            <w:r>
              <w:rPr>
                <w:rFonts w:hint="eastAsia"/>
              </w:rPr>
              <w:t>检测时间</w:t>
            </w:r>
          </w:p>
        </w:tc>
        <w:tc>
          <w:tcPr>
            <w:tcW w:w="958" w:type="pct"/>
            <w:tcBorders>
              <w:top w:val="single" w:color="auto" w:sz="4" w:space="0"/>
              <w:left w:val="single" w:color="auto" w:sz="4" w:space="0"/>
              <w:bottom w:val="single" w:color="auto" w:sz="4" w:space="0"/>
            </w:tcBorders>
            <w:vAlign w:val="center"/>
          </w:tcPr>
          <w:p>
            <w:pPr>
              <w:pStyle w:val="23"/>
              <w:bidi w:val="0"/>
              <w:rPr>
                <w:rFonts w:hint="default" w:eastAsia="仿宋"/>
                <w:lang w:val="en-US" w:eastAsia="zh-CN"/>
              </w:rPr>
            </w:pPr>
            <w:r>
              <w:rPr>
                <w:rFonts w:hint="eastAsia"/>
              </w:rPr>
              <w:t>202</w:t>
            </w:r>
            <w:r>
              <w:rPr>
                <w:rFonts w:hint="eastAsia"/>
                <w:lang w:val="en-US" w:eastAsia="zh-CN"/>
              </w:rPr>
              <w:t>2.5.26</w:t>
            </w:r>
            <w:r>
              <w:rPr>
                <w:rFonts w:hint="eastAsia"/>
              </w:rPr>
              <w:t>~</w:t>
            </w:r>
            <w:r>
              <w:rPr>
                <w:rFonts w:hint="eastAsia"/>
                <w:lang w:val="en-US" w:eastAsia="zh-CN"/>
              </w:rPr>
              <w:t>28</w:t>
            </w:r>
          </w:p>
        </w:tc>
        <w:tc>
          <w:tcPr>
            <w:tcW w:w="500" w:type="pct"/>
            <w:tcBorders>
              <w:top w:val="single" w:color="auto" w:sz="4" w:space="0"/>
              <w:left w:val="single" w:color="auto" w:sz="4" w:space="0"/>
              <w:bottom w:val="single" w:color="auto" w:sz="4" w:space="0"/>
            </w:tcBorders>
            <w:vAlign w:val="center"/>
          </w:tcPr>
          <w:p>
            <w:pPr>
              <w:pStyle w:val="23"/>
              <w:bidi w:val="0"/>
            </w:pPr>
            <w:r>
              <w:rPr>
                <w:rFonts w:hint="eastAsia"/>
              </w:rPr>
              <w:t>陪同人</w:t>
            </w:r>
          </w:p>
        </w:tc>
        <w:tc>
          <w:tcPr>
            <w:tcW w:w="506" w:type="pct"/>
            <w:tcBorders>
              <w:top w:val="single" w:color="auto" w:sz="4" w:space="0"/>
              <w:left w:val="single" w:color="auto" w:sz="4" w:space="0"/>
              <w:bottom w:val="single" w:color="auto" w:sz="4" w:space="0"/>
            </w:tcBorders>
            <w:vAlign w:val="center"/>
          </w:tcPr>
          <w:p>
            <w:pPr>
              <w:pStyle w:val="23"/>
              <w:bidi w:val="0"/>
            </w:pPr>
            <w:r>
              <w:rPr>
                <w:rFonts w:hint="eastAsia"/>
                <w:kern w:val="0"/>
                <w:sz w:val="21"/>
                <w:szCs w:val="21"/>
                <w:lang w:val="en-US" w:eastAsia="zh-CN"/>
              </w:rPr>
              <w:t>王先生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建设项目存在的主要职业病危害因素及检测结果：</w:t>
            </w:r>
          </w:p>
          <w:p>
            <w:pPr>
              <w:pStyle w:val="25"/>
              <w:bidi w:val="0"/>
              <w:ind w:left="0" w:leftChars="0" w:firstLine="0" w:firstLineChars="0"/>
              <w:rPr>
                <w:rFonts w:ascii="仿宋" w:hAnsi="仿宋" w:eastAsia="仿宋" w:cs="Times New Roman"/>
                <w:szCs w:val="21"/>
              </w:rPr>
            </w:pPr>
            <w:r>
              <w:rPr>
                <w:rFonts w:hint="eastAsia"/>
                <w:lang w:val="en-US" w:eastAsia="zh-CN"/>
              </w:rPr>
              <w:t>生产工艺过程中的职业病危害因素</w:t>
            </w:r>
            <w:r>
              <w:rPr>
                <w:rFonts w:hint="default"/>
              </w:rPr>
              <w:t>包括</w:t>
            </w:r>
            <w:r>
              <w:rPr>
                <w:rFonts w:hint="eastAsia"/>
                <w:color w:val="auto"/>
                <w:lang w:val="en-US" w:eastAsia="zh-CN"/>
              </w:rPr>
              <w:t>铜烟、异丙醇、壬烷、丙酮、二氧化锡（按Sn计）、噪声、激光辐射。</w:t>
            </w:r>
            <w:r>
              <w:rPr>
                <w:rFonts w:hint="eastAsia"/>
                <w:lang w:val="en-US" w:eastAsia="zh-CN"/>
              </w:rPr>
              <w:t>经检测，各岗位</w:t>
            </w:r>
            <w:r>
              <w:rPr>
                <w:rFonts w:hint="eastAsia"/>
              </w:rPr>
              <w:t>所检职业病危害因素均低于接触限值。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pStyle w:val="25"/>
              <w:bidi w:val="0"/>
            </w:pPr>
            <w:r>
              <w:t>结论</w:t>
            </w:r>
            <w:r>
              <w:rPr>
                <w:rFonts w:hint="eastAsia"/>
              </w:rPr>
              <w:t>：本项目试运行期间职业病防护满足国家和地方对职业病防治方面的法律、法规、标准的要求。在正常生产过程中，采取了控制效果评价报告所提对策措施和建议的情况下，符合国家和地方对职业病防治方面法律、法规、标准的要求。因此，该项目能够满足防护设施验收的条件。</w:t>
            </w:r>
          </w:p>
          <w:p>
            <w:pPr>
              <w:pStyle w:val="25"/>
              <w:bidi w:val="0"/>
              <w:rPr>
                <w:rFonts w:hint="default" w:ascii="仿宋" w:hAnsi="仿宋" w:eastAsia="仿宋" w:cs="Times New Roman"/>
                <w:szCs w:val="21"/>
                <w:lang w:val="en-US" w:eastAsia="zh-CN"/>
              </w:rPr>
            </w:pPr>
            <w:r>
              <w:rPr>
                <w:rFonts w:hint="eastAsia"/>
              </w:rPr>
              <w:t>建议：</w:t>
            </w:r>
            <w:r>
              <w:t>1</w:t>
            </w:r>
            <w:r>
              <w:rPr>
                <w:rFonts w:hint="eastAsia"/>
              </w:rPr>
              <w:t>）</w:t>
            </w:r>
            <w:r>
              <w:rPr>
                <w:rFonts w:hint="eastAsia" w:ascii="Times New Roman" w:hAnsi="Times New Roman" w:cs="Times New Roman"/>
                <w:bCs/>
                <w:color w:val="auto"/>
                <w:szCs w:val="28"/>
                <w:lang w:val="en-US" w:eastAsia="zh-CN"/>
              </w:rPr>
              <w:t>每年委托职业卫生技术服务机构对作业场所进行职业病危害因素定期检测，并妥善保存相 关资料。建议企业在旺季进行定期检测，更准确反映项目职业病危害因素的最高浓度/强度。</w:t>
            </w:r>
            <w:r>
              <w:rPr>
                <w:rFonts w:hint="eastAsia"/>
              </w:rPr>
              <w:t>2）</w:t>
            </w:r>
            <w:r>
              <w:rPr>
                <w:rFonts w:hint="eastAsia"/>
                <w:color w:val="auto"/>
                <w:kern w:val="28"/>
                <w:lang w:val="en-US" w:eastAsia="zh-CN"/>
              </w:rPr>
              <w:t>今后发生生产技术、工艺、材料等变更而导致所产生的职业病危害因素及其相关内容发生改变的，应重新委托职业卫生技术服务机构对公司进行相应评价。3）按照《职业卫生档案管理规范》（原安监总厅安健〔2013〕171号）的要求，持续完善职业卫生档案。4）按照《工作场所职业卫生管理规定》（中华人民共和国国家卫生健康委员会令第5号，2021年）第十一条的要求，完善职业卫生管理制度并落实到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技术审查专家组评审意见：</w:t>
            </w:r>
          </w:p>
          <w:p>
            <w:pPr>
              <w:pStyle w:val="25"/>
              <w:bidi w:val="0"/>
              <w:rPr>
                <w:rFonts w:hint="eastAsia"/>
                <w:lang w:eastAsia="zh-CN"/>
              </w:rPr>
            </w:pPr>
            <w:r>
              <w:rPr>
                <w:rFonts w:hint="eastAsia"/>
              </w:rPr>
              <w:t>1）</w:t>
            </w:r>
            <w:r>
              <w:rPr>
                <w:rFonts w:hint="eastAsia"/>
                <w:lang w:val="en-US" w:eastAsia="zh-CN"/>
              </w:rPr>
              <w:t>细化防毒设施调查与分析评价</w:t>
            </w:r>
            <w:r>
              <w:rPr>
                <w:rFonts w:hint="eastAsia"/>
              </w:rPr>
              <w:t>；2）</w:t>
            </w:r>
            <w:r>
              <w:rPr>
                <w:rFonts w:hint="eastAsia"/>
                <w:lang w:val="en-US" w:eastAsia="zh-CN"/>
              </w:rPr>
              <w:t>补充放射作业人员个人剂量结果</w:t>
            </w:r>
            <w:r>
              <w:rPr>
                <w:rFonts w:hint="eastAsia"/>
                <w:lang w:eastAsia="zh-CN"/>
              </w:rPr>
              <w:t>；</w:t>
            </w:r>
            <w:r>
              <w:rPr>
                <w:rFonts w:hint="eastAsia"/>
                <w:lang w:val="en-US" w:eastAsia="zh-CN"/>
              </w:rPr>
              <w:t>3）</w:t>
            </w:r>
            <w:r>
              <w:rPr>
                <w:rFonts w:hint="eastAsia"/>
              </w:rPr>
              <w:t>专家提出的其他个人意见</w:t>
            </w:r>
            <w:r>
              <w:rPr>
                <w:rFonts w:hint="eastAsia"/>
                <w:lang w:eastAsia="zh-CN"/>
              </w:rPr>
              <w:t>；</w:t>
            </w:r>
          </w:p>
          <w:p>
            <w:pPr>
              <w:pStyle w:val="25"/>
              <w:bidi w:val="0"/>
              <w:rPr>
                <w:rFonts w:ascii="仿宋" w:hAnsi="仿宋" w:eastAsia="仿宋" w:cs="Times New Roman"/>
                <w:szCs w:val="21"/>
              </w:rPr>
            </w:pPr>
            <w:r>
              <w:rPr>
                <w:rFonts w:hint="eastAsia"/>
              </w:rPr>
              <w:t>专家组同意</w:t>
            </w:r>
            <w:bookmarkStart w:id="0" w:name="_GoBack"/>
            <w:bookmarkEnd w:id="0"/>
            <w:r>
              <w:rPr>
                <w:rFonts w:hint="eastAsia"/>
              </w:rPr>
              <w:t>修改后通过《控制效果评价报告》，修改后的《控制效果评价报告》须经专家组长确认。</w:t>
            </w:r>
          </w:p>
        </w:tc>
      </w:tr>
    </w:tbl>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s>
  <wne:acds>
    <wne:acd wne:argValue="AgBoiDxohVG5W0VcLU4=" wne:acdName="acd0" wne:fciIndexBasedOn="0065"/>
    <wne:acd wne:argValue="AgBoiDxohVG5W2CX5l0=" wne:acdName="acd1" wne:fciIndexBasedOn="0065"/>
    <wne:acd wne:argValue="AgC1az2E" wne:acdName="acd2"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NGIyYTliMTA4NDRlMmUyMGE1ODA5MmNiNjI1ODgifQ=="/>
  </w:docVars>
  <w:rsids>
    <w:rsidRoot w:val="002D5244"/>
    <w:rsid w:val="00051C70"/>
    <w:rsid w:val="000B6908"/>
    <w:rsid w:val="000F661D"/>
    <w:rsid w:val="002D5244"/>
    <w:rsid w:val="00355A35"/>
    <w:rsid w:val="003E27EE"/>
    <w:rsid w:val="003F0872"/>
    <w:rsid w:val="004B6752"/>
    <w:rsid w:val="00531B8B"/>
    <w:rsid w:val="005B6422"/>
    <w:rsid w:val="005C5F7A"/>
    <w:rsid w:val="00947E62"/>
    <w:rsid w:val="00A01BF0"/>
    <w:rsid w:val="00CF1EFE"/>
    <w:rsid w:val="00D86716"/>
    <w:rsid w:val="00E04A58"/>
    <w:rsid w:val="00E348AE"/>
    <w:rsid w:val="00E6761E"/>
    <w:rsid w:val="00EC7B75"/>
    <w:rsid w:val="00F26B48"/>
    <w:rsid w:val="02753E85"/>
    <w:rsid w:val="041B0A5C"/>
    <w:rsid w:val="057A17B3"/>
    <w:rsid w:val="0721282E"/>
    <w:rsid w:val="076B3AA9"/>
    <w:rsid w:val="095C7B4D"/>
    <w:rsid w:val="0B205097"/>
    <w:rsid w:val="0CE95B9C"/>
    <w:rsid w:val="0DE62C9D"/>
    <w:rsid w:val="0E3C619F"/>
    <w:rsid w:val="0EA164EF"/>
    <w:rsid w:val="0FA933C0"/>
    <w:rsid w:val="10B4026F"/>
    <w:rsid w:val="12541D09"/>
    <w:rsid w:val="1285363F"/>
    <w:rsid w:val="156D6C3E"/>
    <w:rsid w:val="15F335E7"/>
    <w:rsid w:val="1A794883"/>
    <w:rsid w:val="1AF71484"/>
    <w:rsid w:val="1C112A19"/>
    <w:rsid w:val="1C250273"/>
    <w:rsid w:val="1C3F7586"/>
    <w:rsid w:val="204038CD"/>
    <w:rsid w:val="21676C37"/>
    <w:rsid w:val="23DA7B95"/>
    <w:rsid w:val="25553977"/>
    <w:rsid w:val="2754014A"/>
    <w:rsid w:val="27B34984"/>
    <w:rsid w:val="2A0C2A72"/>
    <w:rsid w:val="2A120388"/>
    <w:rsid w:val="2DD6761F"/>
    <w:rsid w:val="2E0C3040"/>
    <w:rsid w:val="2EEA6615"/>
    <w:rsid w:val="2F1C72B3"/>
    <w:rsid w:val="3045283A"/>
    <w:rsid w:val="306D402B"/>
    <w:rsid w:val="31510E64"/>
    <w:rsid w:val="34586FDF"/>
    <w:rsid w:val="34BB30CA"/>
    <w:rsid w:val="34E42621"/>
    <w:rsid w:val="35DC59EE"/>
    <w:rsid w:val="35FA1ACA"/>
    <w:rsid w:val="35FC399A"/>
    <w:rsid w:val="37143452"/>
    <w:rsid w:val="375052C0"/>
    <w:rsid w:val="3793032E"/>
    <w:rsid w:val="38857FA0"/>
    <w:rsid w:val="3D60119F"/>
    <w:rsid w:val="3E79027E"/>
    <w:rsid w:val="406665E0"/>
    <w:rsid w:val="42B37AD7"/>
    <w:rsid w:val="42EB101F"/>
    <w:rsid w:val="436C1B2E"/>
    <w:rsid w:val="4384370E"/>
    <w:rsid w:val="46FC37FA"/>
    <w:rsid w:val="472B2331"/>
    <w:rsid w:val="486A50DB"/>
    <w:rsid w:val="4CE511D4"/>
    <w:rsid w:val="4D1A2C2C"/>
    <w:rsid w:val="4D714816"/>
    <w:rsid w:val="4E9D1D67"/>
    <w:rsid w:val="4F1162B1"/>
    <w:rsid w:val="50642410"/>
    <w:rsid w:val="51A57D4C"/>
    <w:rsid w:val="577371DA"/>
    <w:rsid w:val="58580AAD"/>
    <w:rsid w:val="608C39E9"/>
    <w:rsid w:val="6220263B"/>
    <w:rsid w:val="63427A00"/>
    <w:rsid w:val="63D9722E"/>
    <w:rsid w:val="68A45648"/>
    <w:rsid w:val="6A116D0D"/>
    <w:rsid w:val="6A5F61B7"/>
    <w:rsid w:val="6D7221B9"/>
    <w:rsid w:val="6DFA4688"/>
    <w:rsid w:val="6E0B3951"/>
    <w:rsid w:val="6EBC193D"/>
    <w:rsid w:val="6ECB7DD2"/>
    <w:rsid w:val="6F897E6A"/>
    <w:rsid w:val="70343755"/>
    <w:rsid w:val="70E46F2A"/>
    <w:rsid w:val="76397D18"/>
    <w:rsid w:val="765042C1"/>
    <w:rsid w:val="766308F1"/>
    <w:rsid w:val="775C1F10"/>
    <w:rsid w:val="791912D1"/>
    <w:rsid w:val="7A7E219D"/>
    <w:rsid w:val="7AC04563"/>
    <w:rsid w:val="7BB7701D"/>
    <w:rsid w:val="7BC40083"/>
    <w:rsid w:val="7BEE3352"/>
    <w:rsid w:val="7DCF4ABD"/>
    <w:rsid w:val="7DFD787D"/>
    <w:rsid w:val="7E2766A8"/>
    <w:rsid w:val="7EDC0404"/>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spacing w:after="50" w:afterLines="50"/>
      <w:ind w:firstLine="0" w:firstLineChars="0"/>
      <w:outlineLvl w:val="0"/>
    </w:pPr>
    <w:rPr>
      <w:b/>
      <w:bCs/>
      <w:color w:val="000000"/>
      <w:spacing w:val="-6"/>
      <w:kern w:val="44"/>
      <w:sz w:val="30"/>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tabs>
        <w:tab w:val="left" w:pos="58"/>
      </w:tabs>
      <w:autoSpaceDE w:val="0"/>
      <w:autoSpaceDN w:val="0"/>
    </w:pPr>
    <w:rPr>
      <w:rFonts w:hint="eastAsia" w:ascii="仿宋" w:eastAsia="仿宋"/>
      <w:color w:val="000000"/>
      <w:sz w:val="24"/>
      <w:lang w:val="en-US" w:eastAsia="zh-CN" w:bidi="ar-SA"/>
    </w:rPr>
  </w:style>
  <w:style w:type="paragraph" w:customStyle="1" w:styleId="3">
    <w:name w:val="纯文本1"/>
    <w:basedOn w:val="1"/>
    <w:qFormat/>
    <w:uiPriority w:val="0"/>
    <w:pPr>
      <w:tabs>
        <w:tab w:val="left" w:pos="58"/>
      </w:tabs>
      <w:adjustRightInd w:val="0"/>
      <w:spacing w:line="240" w:lineRule="auto"/>
      <w:ind w:firstLine="0"/>
      <w:textAlignment w:val="baseline"/>
    </w:pPr>
    <w:rPr>
      <w:rFonts w:ascii="宋体" w:hAnsi="Courier New" w:eastAsia="宋体" w:cs="Times New Roman"/>
      <w:sz w:val="21"/>
      <w:szCs w:val="20"/>
    </w:rPr>
  </w:style>
  <w:style w:type="paragraph" w:styleId="5">
    <w:name w:val="annotation text"/>
    <w:basedOn w:val="1"/>
    <w:link w:val="20"/>
    <w:semiHidden/>
    <w:unhideWhenUsed/>
    <w:qFormat/>
    <w:uiPriority w:val="99"/>
    <w:pPr>
      <w:jc w:val="left"/>
    </w:pPr>
  </w:style>
  <w:style w:type="paragraph" w:styleId="6">
    <w:name w:val="Body Text Indent"/>
    <w:basedOn w:val="1"/>
    <w:uiPriority w:val="0"/>
    <w:pPr>
      <w:spacing w:line="460" w:lineRule="exact"/>
      <w:ind w:firstLine="560" w:firstLineChars="200"/>
    </w:pPr>
    <w:rPr>
      <w:kern w:val="2"/>
      <w:szCs w:val="24"/>
    </w:rPr>
  </w:style>
  <w:style w:type="paragraph" w:styleId="7">
    <w:name w:val="Balloon Text"/>
    <w:basedOn w:val="1"/>
    <w:link w:val="22"/>
    <w:semiHidden/>
    <w:unhideWhenUsed/>
    <w:qFormat/>
    <w:uiPriority w:val="99"/>
    <w:rPr>
      <w:sz w:val="18"/>
      <w:szCs w:val="18"/>
    </w:rPr>
  </w:style>
  <w:style w:type="paragraph" w:styleId="8">
    <w:name w:val="footer"/>
    <w:basedOn w:val="1"/>
    <w:link w:val="16"/>
    <w:semiHidden/>
    <w:unhideWhenUsed/>
    <w:qFormat/>
    <w:uiPriority w:val="99"/>
    <w:pPr>
      <w:tabs>
        <w:tab w:val="center" w:pos="4153"/>
        <w:tab w:val="right" w:pos="8306"/>
      </w:tabs>
      <w:snapToGrid w:val="0"/>
      <w:jc w:val="left"/>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1"/>
    <w:semiHidden/>
    <w:unhideWhenUsed/>
    <w:qFormat/>
    <w:uiPriority w:val="99"/>
    <w:rPr>
      <w:b/>
      <w:bCs/>
    </w:rPr>
  </w:style>
  <w:style w:type="paragraph" w:styleId="11">
    <w:name w:val="Body Text First Indent 2"/>
    <w:basedOn w:val="6"/>
    <w:qFormat/>
    <w:uiPriority w:val="0"/>
    <w:pPr>
      <w:snapToGrid/>
      <w:spacing w:after="120" w:line="312" w:lineRule="atLeast"/>
      <w:ind w:left="420" w:firstLine="420"/>
      <w:textAlignment w:val="baseline"/>
    </w:pPr>
    <w:rPr>
      <w:rFonts w:ascii="Calibri" w:hAnsi="Calibri" w:eastAsia="宋体"/>
      <w:kern w:val="0"/>
      <w:sz w:val="21"/>
      <w:szCs w:val="20"/>
    </w:rPr>
  </w:style>
  <w:style w:type="character" w:styleId="14">
    <w:name w:val="annotation reference"/>
    <w:basedOn w:val="13"/>
    <w:semiHidden/>
    <w:unhideWhenUsed/>
    <w:qFormat/>
    <w:uiPriority w:val="99"/>
    <w:rPr>
      <w:sz w:val="21"/>
      <w:szCs w:val="21"/>
    </w:rPr>
  </w:style>
  <w:style w:type="character" w:customStyle="1" w:styleId="15">
    <w:name w:val="页眉 Char"/>
    <w:basedOn w:val="13"/>
    <w:link w:val="9"/>
    <w:semiHidden/>
    <w:qFormat/>
    <w:uiPriority w:val="99"/>
    <w:rPr>
      <w:sz w:val="18"/>
      <w:szCs w:val="18"/>
    </w:rPr>
  </w:style>
  <w:style w:type="character" w:customStyle="1" w:styleId="16">
    <w:name w:val="页脚 Char"/>
    <w:basedOn w:val="13"/>
    <w:link w:val="8"/>
    <w:semiHidden/>
    <w:qFormat/>
    <w:uiPriority w:val="99"/>
    <w:rPr>
      <w:sz w:val="18"/>
      <w:szCs w:val="18"/>
    </w:rPr>
  </w:style>
  <w:style w:type="character" w:customStyle="1" w:styleId="17">
    <w:name w:val="排版正文 Char Char"/>
    <w:link w:val="18"/>
    <w:qFormat/>
    <w:locked/>
    <w:uiPriority w:val="0"/>
    <w:rPr>
      <w:rFonts w:ascii="仿宋_GB2312" w:hAnsi="Times New Roman" w:eastAsia="仿宋_GB2312"/>
      <w:spacing w:val="8"/>
      <w:sz w:val="28"/>
      <w:szCs w:val="21"/>
    </w:rPr>
  </w:style>
  <w:style w:type="paragraph" w:customStyle="1" w:styleId="18">
    <w:name w:val="排版正文"/>
    <w:link w:val="17"/>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19">
    <w:name w:val="List Paragraph"/>
    <w:basedOn w:val="1"/>
    <w:qFormat/>
    <w:uiPriority w:val="34"/>
    <w:pPr>
      <w:ind w:firstLine="420" w:firstLineChars="200"/>
    </w:pPr>
  </w:style>
  <w:style w:type="character" w:customStyle="1" w:styleId="20">
    <w:name w:val="批注文字 Char"/>
    <w:basedOn w:val="13"/>
    <w:link w:val="5"/>
    <w:semiHidden/>
    <w:qFormat/>
    <w:uiPriority w:val="99"/>
  </w:style>
  <w:style w:type="character" w:customStyle="1" w:styleId="21">
    <w:name w:val="批注主题 Char"/>
    <w:basedOn w:val="20"/>
    <w:link w:val="10"/>
    <w:semiHidden/>
    <w:qFormat/>
    <w:uiPriority w:val="99"/>
    <w:rPr>
      <w:b/>
      <w:bCs/>
    </w:rPr>
  </w:style>
  <w:style w:type="character" w:customStyle="1" w:styleId="22">
    <w:name w:val="批注框文本 Char"/>
    <w:basedOn w:val="13"/>
    <w:link w:val="7"/>
    <w:semiHidden/>
    <w:qFormat/>
    <w:uiPriority w:val="99"/>
    <w:rPr>
      <w:sz w:val="18"/>
      <w:szCs w:val="18"/>
    </w:rPr>
  </w:style>
  <w:style w:type="paragraph" w:customStyle="1" w:styleId="23">
    <w:name w:val="表格内容居中"/>
    <w:basedOn w:val="1"/>
    <w:link w:val="26"/>
    <w:uiPriority w:val="0"/>
    <w:pPr>
      <w:spacing w:line="340" w:lineRule="exact"/>
      <w:jc w:val="center"/>
    </w:pPr>
    <w:rPr>
      <w:rFonts w:hint="eastAsia" w:ascii="仿宋" w:hAnsi="仿宋" w:eastAsia="仿宋" w:cs="Times New Roman"/>
      <w:szCs w:val="21"/>
    </w:rPr>
  </w:style>
  <w:style w:type="paragraph" w:customStyle="1" w:styleId="24">
    <w:name w:val="表格内容靠左"/>
    <w:basedOn w:val="1"/>
    <w:link w:val="27"/>
    <w:qFormat/>
    <w:uiPriority w:val="0"/>
    <w:pPr>
      <w:spacing w:line="340" w:lineRule="exact"/>
      <w:jc w:val="left"/>
    </w:pPr>
    <w:rPr>
      <w:rFonts w:hint="eastAsia" w:ascii="仿宋" w:hAnsi="仿宋" w:eastAsia="仿宋" w:cs="Times New Roman"/>
      <w:szCs w:val="21"/>
    </w:rPr>
  </w:style>
  <w:style w:type="paragraph" w:customStyle="1" w:styleId="25">
    <w:name w:val="段落"/>
    <w:basedOn w:val="1"/>
    <w:link w:val="28"/>
    <w:qFormat/>
    <w:uiPriority w:val="0"/>
    <w:pPr>
      <w:spacing w:line="320" w:lineRule="exact"/>
      <w:ind w:firstLine="420" w:firstLineChars="200"/>
      <w:jc w:val="left"/>
    </w:pPr>
    <w:rPr>
      <w:rFonts w:hint="eastAsia" w:ascii="仿宋" w:hAnsi="仿宋" w:eastAsia="仿宋" w:cs="Times New Roman"/>
      <w:szCs w:val="21"/>
    </w:rPr>
  </w:style>
  <w:style w:type="character" w:customStyle="1" w:styleId="26">
    <w:name w:val="表格内容居中 Char"/>
    <w:link w:val="23"/>
    <w:qFormat/>
    <w:uiPriority w:val="0"/>
    <w:rPr>
      <w:rFonts w:hint="eastAsia" w:ascii="仿宋" w:hAnsi="仿宋" w:eastAsia="仿宋" w:cs="Times New Roman"/>
      <w:szCs w:val="21"/>
    </w:rPr>
  </w:style>
  <w:style w:type="character" w:customStyle="1" w:styleId="27">
    <w:name w:val="表格内容靠左 Char"/>
    <w:link w:val="24"/>
    <w:qFormat/>
    <w:uiPriority w:val="0"/>
    <w:rPr>
      <w:rFonts w:hint="eastAsia" w:ascii="仿宋" w:hAnsi="仿宋" w:eastAsia="仿宋" w:cs="Times New Roman"/>
      <w:szCs w:val="21"/>
    </w:rPr>
  </w:style>
  <w:style w:type="character" w:customStyle="1" w:styleId="28">
    <w:name w:val="段落 Char"/>
    <w:link w:val="25"/>
    <w:qFormat/>
    <w:uiPriority w:val="0"/>
    <w:rPr>
      <w:rFonts w:hint="eastAsia" w:ascii="仿宋" w:hAnsi="仿宋" w:eastAsia="仿宋"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915</Words>
  <Characters>983</Characters>
  <Lines>9</Lines>
  <Paragraphs>2</Paragraphs>
  <TotalTime>0</TotalTime>
  <ScaleCrop>false</ScaleCrop>
  <LinksUpToDate>false</LinksUpToDate>
  <CharactersWithSpaces>1005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nice</cp:lastModifiedBy>
  <dcterms:modified xsi:type="dcterms:W3CDTF">2023-05-12T06:18:42Z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830B912F9945499FA68D99B5FD27AB45_13</vt:lpwstr>
  </property>
</Properties>
</file>