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1"/>
        <w:gridCol w:w="2534"/>
        <w:gridCol w:w="1173"/>
        <w:gridCol w:w="1705"/>
        <w:gridCol w:w="890"/>
        <w:gridCol w:w="9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8" w:type="pct"/>
            <w:gridSpan w:val="5"/>
            <w:tcBorders>
              <w:top w:val="single" w:color="auto" w:sz="4" w:space="0"/>
              <w:left w:val="single" w:color="auto" w:sz="4" w:space="0"/>
              <w:bottom w:val="single" w:color="auto" w:sz="4" w:space="0"/>
            </w:tcBorders>
            <w:vAlign w:val="center"/>
          </w:tcPr>
          <w:p>
            <w:pPr>
              <w:pStyle w:val="23"/>
              <w:bidi w:val="0"/>
              <w:rPr>
                <w:rFonts w:ascii="仿宋" w:hAnsi="仿宋" w:eastAsia="仿宋" w:cs="Times New Roman"/>
                <w:szCs w:val="21"/>
              </w:rPr>
            </w:pPr>
            <w:r>
              <w:rPr>
                <w:rFonts w:hint="eastAsia"/>
                <w:color w:val="auto"/>
                <w:lang w:eastAsia="zh-CN"/>
              </w:rPr>
              <w:t>惠州市圣方家具有限公司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8" w:type="pct"/>
            <w:gridSpan w:val="5"/>
            <w:tcBorders>
              <w:top w:val="single" w:color="auto" w:sz="4" w:space="0"/>
              <w:left w:val="single" w:color="auto" w:sz="4" w:space="0"/>
              <w:bottom w:val="single" w:color="auto" w:sz="4" w:space="0"/>
            </w:tcBorders>
            <w:vAlign w:val="center"/>
          </w:tcPr>
          <w:p>
            <w:pPr>
              <w:pStyle w:val="23"/>
              <w:bidi w:val="0"/>
            </w:pPr>
            <w:r>
              <w:rPr>
                <w:rFonts w:hint="eastAsia"/>
                <w:lang w:eastAsia="zh-CN"/>
              </w:rPr>
              <w:t>惠州市圣方家具有限公司新建项目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8" w:type="pct"/>
            <w:gridSpan w:val="5"/>
            <w:tcBorders>
              <w:top w:val="single" w:color="auto" w:sz="4" w:space="0"/>
              <w:left w:val="single" w:color="auto" w:sz="4" w:space="0"/>
              <w:bottom w:val="single" w:color="auto" w:sz="4" w:space="0"/>
            </w:tcBorders>
            <w:vAlign w:val="center"/>
          </w:tcPr>
          <w:p>
            <w:pPr>
              <w:pStyle w:val="23"/>
              <w:bidi w:val="0"/>
            </w:pPr>
            <w:r>
              <w:rPr>
                <w:rFonts w:hint="eastAsia"/>
                <w:lang w:val="en-US" w:eastAsia="zh-CN"/>
              </w:rPr>
              <w:t>博罗县园洲镇土瓜圩村委会24米路（土名）地段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8" w:type="pct"/>
            <w:gridSpan w:val="5"/>
            <w:tcBorders>
              <w:top w:val="single" w:color="auto" w:sz="4" w:space="0"/>
              <w:left w:val="single" w:color="auto" w:sz="4" w:space="0"/>
              <w:bottom w:val="single" w:color="auto" w:sz="4" w:space="0"/>
            </w:tcBorders>
            <w:vAlign w:val="center"/>
          </w:tcPr>
          <w:p>
            <w:pPr>
              <w:pStyle w:val="23"/>
              <w:bidi w:val="0"/>
              <w:rPr>
                <w:rFonts w:hint="default" w:ascii="仿宋" w:hAnsi="仿宋" w:eastAsia="仿宋" w:cs="Times New Roman"/>
                <w:szCs w:val="21"/>
                <w:lang w:val="en-US" w:eastAsia="zh-CN"/>
              </w:rPr>
            </w:pPr>
            <w:r>
              <w:rPr>
                <w:rFonts w:hint="eastAsia"/>
                <w:kern w:val="0"/>
                <w:sz w:val="21"/>
                <w:szCs w:val="21"/>
                <w:lang w:val="en-US" w:eastAsia="zh-CN"/>
              </w:rPr>
              <w:t>翟先生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8" w:type="pct"/>
            <w:gridSpan w:val="5"/>
            <w:tcBorders>
              <w:top w:val="single" w:color="auto" w:sz="4" w:space="0"/>
              <w:left w:val="single" w:color="auto" w:sz="4" w:space="0"/>
              <w:bottom w:val="single" w:color="auto" w:sz="4" w:space="0"/>
            </w:tcBorders>
            <w:vAlign w:val="center"/>
          </w:tcPr>
          <w:p>
            <w:pPr>
              <w:pStyle w:val="24"/>
              <w:bidi w:val="0"/>
              <w:jc w:val="both"/>
              <w:rPr>
                <w:rFonts w:hint="default" w:eastAsia="仿宋"/>
                <w:vertAlign w:val="baseline"/>
                <w:lang w:val="en-US" w:eastAsia="zh-CN"/>
              </w:rPr>
            </w:pPr>
            <w:r>
              <w:rPr>
                <w:rFonts w:hint="eastAsia"/>
                <w:lang w:val="en-US" w:eastAsia="zh-CN"/>
              </w:rPr>
              <w:t>该项目年产储物架42万件、置物组合层板35万件、桌子7万件以及椅子7万件。项目主要组成：A栋1F生产车间（木工区、定制区、打磨区）、A栋2F生产车间（打磨房、自动喷涂线、自动喷粉线、异形喷涂区、包装区）、B栋1F生产车间、B栋2F生产车间、空压机房、配电房、仓库、模具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3"/>
              <w:bidi w:val="0"/>
              <w:rPr>
                <w:rFonts w:hint="default" w:eastAsia="仿宋"/>
                <w:lang w:val="en-US" w:eastAsia="zh-CN"/>
              </w:rPr>
            </w:pPr>
            <w:r>
              <w:rPr>
                <w:rFonts w:hint="eastAsia"/>
                <w:lang w:val="en-US" w:eastAsia="zh-CN"/>
              </w:rPr>
              <w:t>何曼静、赵文朋</w:t>
            </w:r>
          </w:p>
        </w:tc>
        <w:tc>
          <w:tcPr>
            <w:tcW w:w="659" w:type="pct"/>
            <w:tcBorders>
              <w:top w:val="single" w:color="auto" w:sz="4" w:space="0"/>
              <w:left w:val="single" w:color="auto" w:sz="4" w:space="0"/>
              <w:bottom w:val="single" w:color="auto" w:sz="4" w:space="0"/>
            </w:tcBorders>
            <w:vAlign w:val="center"/>
          </w:tcPr>
          <w:p>
            <w:pPr>
              <w:pStyle w:val="23"/>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3"/>
              <w:bidi w:val="0"/>
              <w:rPr>
                <w:rFonts w:hint="default"/>
                <w:lang w:val="en-US" w:eastAsia="zh-CN"/>
              </w:rPr>
            </w:pPr>
            <w:r>
              <w:rPr>
                <w:rFonts w:hint="eastAsia"/>
              </w:rPr>
              <w:t>202</w:t>
            </w:r>
            <w:r>
              <w:rPr>
                <w:rFonts w:hint="eastAsia"/>
                <w:lang w:val="en-US" w:eastAsia="zh-CN"/>
              </w:rPr>
              <w:t>2.11.07</w:t>
            </w:r>
          </w:p>
        </w:tc>
        <w:tc>
          <w:tcPr>
            <w:tcW w:w="500" w:type="pct"/>
            <w:tcBorders>
              <w:top w:val="single" w:color="auto" w:sz="4" w:space="0"/>
              <w:left w:val="single" w:color="auto" w:sz="4" w:space="0"/>
              <w:bottom w:val="single" w:color="auto" w:sz="4" w:space="0"/>
            </w:tcBorders>
            <w:vAlign w:val="center"/>
          </w:tcPr>
          <w:p>
            <w:pPr>
              <w:pStyle w:val="23"/>
              <w:bidi w:val="0"/>
            </w:pPr>
            <w:r>
              <w:rPr>
                <w:rFonts w:hint="eastAsia"/>
              </w:rPr>
              <w:t>陪同人</w:t>
            </w:r>
          </w:p>
        </w:tc>
        <w:tc>
          <w:tcPr>
            <w:tcW w:w="506" w:type="pct"/>
            <w:tcBorders>
              <w:top w:val="single" w:color="auto" w:sz="4" w:space="0"/>
              <w:left w:val="single" w:color="auto" w:sz="4" w:space="0"/>
              <w:bottom w:val="single" w:color="auto" w:sz="4" w:space="0"/>
            </w:tcBorders>
            <w:vAlign w:val="center"/>
          </w:tcPr>
          <w:p>
            <w:pPr>
              <w:pStyle w:val="23"/>
              <w:bidi w:val="0"/>
            </w:pPr>
            <w:r>
              <w:rPr>
                <w:rFonts w:hint="eastAsia"/>
                <w:kern w:val="0"/>
                <w:sz w:val="21"/>
                <w:szCs w:val="21"/>
                <w:lang w:val="en-US" w:eastAsia="zh-CN"/>
              </w:rPr>
              <w:t>翟先生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3"/>
              <w:bidi w:val="0"/>
              <w:rPr>
                <w:rFonts w:hint="eastAsia"/>
                <w:lang w:eastAsia="zh-CN"/>
              </w:rPr>
            </w:pPr>
            <w:r>
              <w:rPr>
                <w:rFonts w:hint="eastAsia"/>
                <w:lang w:val="en-US" w:eastAsia="zh-CN"/>
              </w:rPr>
              <w:t>黄倩雯、甄嘉城</w:t>
            </w:r>
          </w:p>
        </w:tc>
        <w:tc>
          <w:tcPr>
            <w:tcW w:w="659" w:type="pct"/>
            <w:tcBorders>
              <w:top w:val="single" w:color="auto" w:sz="4" w:space="0"/>
              <w:left w:val="single" w:color="auto" w:sz="4" w:space="0"/>
              <w:bottom w:val="single" w:color="auto" w:sz="4" w:space="0"/>
            </w:tcBorders>
            <w:vAlign w:val="center"/>
          </w:tcPr>
          <w:p>
            <w:pPr>
              <w:pStyle w:val="23"/>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3"/>
              <w:bidi w:val="0"/>
              <w:rPr>
                <w:rFonts w:hint="default" w:eastAsia="仿宋"/>
                <w:lang w:val="en-US" w:eastAsia="zh-CN"/>
              </w:rPr>
            </w:pPr>
            <w:r>
              <w:rPr>
                <w:rFonts w:hint="eastAsia"/>
              </w:rPr>
              <w:t>202</w:t>
            </w:r>
            <w:r>
              <w:rPr>
                <w:rFonts w:hint="eastAsia"/>
                <w:lang w:val="en-US" w:eastAsia="zh-CN"/>
              </w:rPr>
              <w:t>2.11.14</w:t>
            </w:r>
            <w:r>
              <w:rPr>
                <w:rFonts w:hint="eastAsia"/>
              </w:rPr>
              <w:t>~</w:t>
            </w:r>
            <w:r>
              <w:rPr>
                <w:rFonts w:hint="eastAsia"/>
                <w:lang w:val="en-US" w:eastAsia="zh-CN"/>
              </w:rPr>
              <w:t>17</w:t>
            </w:r>
          </w:p>
        </w:tc>
        <w:tc>
          <w:tcPr>
            <w:tcW w:w="500" w:type="pct"/>
            <w:tcBorders>
              <w:top w:val="single" w:color="auto" w:sz="4" w:space="0"/>
              <w:left w:val="single" w:color="auto" w:sz="4" w:space="0"/>
              <w:bottom w:val="single" w:color="auto" w:sz="4" w:space="0"/>
            </w:tcBorders>
            <w:vAlign w:val="center"/>
          </w:tcPr>
          <w:p>
            <w:pPr>
              <w:pStyle w:val="23"/>
              <w:bidi w:val="0"/>
            </w:pPr>
            <w:r>
              <w:rPr>
                <w:rFonts w:hint="eastAsia"/>
              </w:rPr>
              <w:t>陪同人</w:t>
            </w:r>
          </w:p>
        </w:tc>
        <w:tc>
          <w:tcPr>
            <w:tcW w:w="506" w:type="pct"/>
            <w:tcBorders>
              <w:top w:val="single" w:color="auto" w:sz="4" w:space="0"/>
              <w:left w:val="single" w:color="auto" w:sz="4" w:space="0"/>
              <w:bottom w:val="single" w:color="auto" w:sz="4" w:space="0"/>
            </w:tcBorders>
            <w:vAlign w:val="center"/>
          </w:tcPr>
          <w:p>
            <w:pPr>
              <w:pStyle w:val="23"/>
              <w:bidi w:val="0"/>
            </w:pPr>
            <w:r>
              <w:rPr>
                <w:rFonts w:hint="eastAsia"/>
                <w:kern w:val="0"/>
                <w:sz w:val="21"/>
                <w:szCs w:val="21"/>
                <w:lang w:val="en-US" w:eastAsia="zh-CN"/>
              </w:rPr>
              <w:t>翟先生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5"/>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木粉尘、其他粉尘（油漆）、电焊烟尘、砂轮磨尘、其他粉尘（树脂粉）、其他粉尘（铁及其化合物）、一氧化碳、甲苯、乙酸丁酯、二甲苯、乙酸乙酯、二氯甲烷、臭氧、乙苯、苯、氮氧化合物、锰及其化合物、甲基丙烯酸甲酯、噪声、高温、紫外线、手传振动、工频电磁场。</w:t>
            </w:r>
            <w:bookmarkStart w:id="0" w:name="_Toc27323"/>
            <w:r>
              <w:rPr>
                <w:rFonts w:hint="eastAsia"/>
                <w:color w:val="auto"/>
                <w:lang w:val="en-US" w:eastAsia="zh-CN"/>
              </w:rPr>
              <w:t>本次评价检测针对自动喷涂线、手工喷涂工位、调漆工位进行苯、甲苯、二甲苯、乙苯的排除性检测，针对打磨区喷漆工位进行苯、甲苯、乙苯的排除性检测。</w:t>
            </w:r>
            <w:bookmarkEnd w:id="0"/>
            <w:r>
              <w:rPr>
                <w:rFonts w:hint="eastAsia"/>
                <w:lang w:val="en-US" w:eastAsia="zh-CN"/>
              </w:rPr>
              <w:t>经检测，除了B栋1F生产车间的冲压工和打磨工噪声检测结果超过职业接触限值以外，其余各岗位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5"/>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5"/>
              <w:bidi w:val="0"/>
              <w:rPr>
                <w:rFonts w:hint="default"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lang w:val="en-US" w:eastAsia="zh-CN"/>
              </w:rPr>
              <w:t>做好现场职业卫生管理，监督员工佩戴好耳塞</w:t>
            </w:r>
            <w:r>
              <w:rPr>
                <w:rFonts w:hint="eastAsia" w:ascii="Times New Roman" w:hAnsi="Times New Roman" w:cs="Times New Roman"/>
                <w:bCs/>
                <w:color w:val="auto"/>
                <w:szCs w:val="28"/>
              </w:rPr>
              <w:t>。</w:t>
            </w:r>
            <w:r>
              <w:rPr>
                <w:rFonts w:hint="eastAsia"/>
              </w:rPr>
              <w:t>2）</w:t>
            </w:r>
            <w:r>
              <w:rPr>
                <w:rFonts w:hint="eastAsia"/>
                <w:color w:val="auto"/>
                <w:kern w:val="28"/>
                <w:lang w:val="en-US" w:eastAsia="zh-CN"/>
              </w:rPr>
              <w:t>定期对防护设施进行检维修、定期清理积尘，避免因防护设施老化、管道堵塞等原因均降低防护设施排风效果</w:t>
            </w:r>
            <w:r>
              <w:rPr>
                <w:rFonts w:hint="eastAsia"/>
                <w:color w:val="auto"/>
                <w:kern w:val="28"/>
              </w:rPr>
              <w:t>。</w:t>
            </w:r>
            <w:r>
              <w:rPr>
                <w:rFonts w:hint="eastAsia"/>
                <w:color w:val="auto"/>
                <w:kern w:val="28"/>
                <w:lang w:val="en-US" w:eastAsia="zh-CN"/>
              </w:rPr>
              <w:t>3）企业应按照《职业卫生档案管理规范》（原安监总厅安健〔2013〕171号）的要求建立各类职业卫生档案，各类职业卫生管理资料应及时整理归档。4）建设项目在生产规模、工艺或者职业病危害因素的种类、防护设施等发生变更时，应当按照有关规定对变更内容重新进行职业病危害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5"/>
              <w:bidi w:val="0"/>
              <w:rPr>
                <w:rFonts w:hint="eastAsia"/>
                <w:lang w:eastAsia="zh-CN"/>
              </w:rPr>
            </w:pPr>
            <w:r>
              <w:rPr>
                <w:rFonts w:hint="eastAsia"/>
              </w:rPr>
              <w:t>1）</w:t>
            </w:r>
            <w:r>
              <w:rPr>
                <w:rFonts w:hint="eastAsia"/>
                <w:lang w:val="en-US" w:eastAsia="zh-CN"/>
              </w:rPr>
              <w:t>细化职业病防护设施合理性与有效性评价</w:t>
            </w:r>
            <w:r>
              <w:rPr>
                <w:rFonts w:hint="eastAsia"/>
              </w:rPr>
              <w:t>；2）</w:t>
            </w:r>
            <w:r>
              <w:rPr>
                <w:rFonts w:hint="eastAsia"/>
                <w:lang w:val="en-US" w:eastAsia="zh-CN"/>
              </w:rPr>
              <w:t>完善生产车间各岗位通风换气的分析与评价</w:t>
            </w:r>
            <w:r>
              <w:rPr>
                <w:rFonts w:hint="eastAsia"/>
                <w:lang w:eastAsia="zh-CN"/>
              </w:rPr>
              <w:t>；</w:t>
            </w:r>
            <w:r>
              <w:rPr>
                <w:rFonts w:hint="eastAsia"/>
                <w:lang w:val="en-US" w:eastAsia="zh-CN"/>
              </w:rPr>
              <w:t>3）细化应急救援风险分析及应急救援评价；4）</w:t>
            </w:r>
            <w:bookmarkStart w:id="1" w:name="_GoBack"/>
            <w:bookmarkEnd w:id="1"/>
            <w:r>
              <w:rPr>
                <w:rFonts w:hint="eastAsia"/>
              </w:rPr>
              <w:t>专家提出的其他个人意见</w:t>
            </w:r>
            <w:r>
              <w:rPr>
                <w:rFonts w:hint="eastAsia"/>
                <w:lang w:eastAsia="zh-CN"/>
              </w:rPr>
              <w:t>；</w:t>
            </w:r>
          </w:p>
          <w:p>
            <w:pPr>
              <w:pStyle w:val="25"/>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2753E85"/>
    <w:rsid w:val="041B0A5C"/>
    <w:rsid w:val="057A17B3"/>
    <w:rsid w:val="0721282E"/>
    <w:rsid w:val="076B3AA9"/>
    <w:rsid w:val="095C7B4D"/>
    <w:rsid w:val="0B205097"/>
    <w:rsid w:val="0CE95B9C"/>
    <w:rsid w:val="0DE62C9D"/>
    <w:rsid w:val="0E3C619F"/>
    <w:rsid w:val="0EA164EF"/>
    <w:rsid w:val="0FA933C0"/>
    <w:rsid w:val="10B4026F"/>
    <w:rsid w:val="12541D09"/>
    <w:rsid w:val="1285363F"/>
    <w:rsid w:val="156D6C3E"/>
    <w:rsid w:val="15F335E7"/>
    <w:rsid w:val="1AF71484"/>
    <w:rsid w:val="1C112A19"/>
    <w:rsid w:val="1C250273"/>
    <w:rsid w:val="1C3F7586"/>
    <w:rsid w:val="204038CD"/>
    <w:rsid w:val="21676C37"/>
    <w:rsid w:val="23DA7B95"/>
    <w:rsid w:val="25553977"/>
    <w:rsid w:val="2754014A"/>
    <w:rsid w:val="27B34984"/>
    <w:rsid w:val="2A0C2A72"/>
    <w:rsid w:val="2A120388"/>
    <w:rsid w:val="2DD6761F"/>
    <w:rsid w:val="2E0C3040"/>
    <w:rsid w:val="2EEA6615"/>
    <w:rsid w:val="2F1C72B3"/>
    <w:rsid w:val="3045283A"/>
    <w:rsid w:val="31510E64"/>
    <w:rsid w:val="34586FDF"/>
    <w:rsid w:val="34BB30CA"/>
    <w:rsid w:val="35DC59EE"/>
    <w:rsid w:val="35FA1ACA"/>
    <w:rsid w:val="35FC399A"/>
    <w:rsid w:val="37143452"/>
    <w:rsid w:val="375052C0"/>
    <w:rsid w:val="3793032E"/>
    <w:rsid w:val="38857FA0"/>
    <w:rsid w:val="3D60119F"/>
    <w:rsid w:val="3E79027E"/>
    <w:rsid w:val="406665E0"/>
    <w:rsid w:val="42B37AD7"/>
    <w:rsid w:val="42EB101F"/>
    <w:rsid w:val="436C1B2E"/>
    <w:rsid w:val="4384370E"/>
    <w:rsid w:val="472B2331"/>
    <w:rsid w:val="486A50DB"/>
    <w:rsid w:val="4CE511D4"/>
    <w:rsid w:val="4D1A2C2C"/>
    <w:rsid w:val="4D714816"/>
    <w:rsid w:val="4E9D1D67"/>
    <w:rsid w:val="4F1162B1"/>
    <w:rsid w:val="50642410"/>
    <w:rsid w:val="51A57D4C"/>
    <w:rsid w:val="577371DA"/>
    <w:rsid w:val="58580AAD"/>
    <w:rsid w:val="608C39E9"/>
    <w:rsid w:val="6220263B"/>
    <w:rsid w:val="63427A00"/>
    <w:rsid w:val="63D9722E"/>
    <w:rsid w:val="68A45648"/>
    <w:rsid w:val="6A116D0D"/>
    <w:rsid w:val="6A5F61B7"/>
    <w:rsid w:val="6D7221B9"/>
    <w:rsid w:val="6DFA4688"/>
    <w:rsid w:val="6E0B3951"/>
    <w:rsid w:val="6EBC193D"/>
    <w:rsid w:val="6F897E6A"/>
    <w:rsid w:val="70343755"/>
    <w:rsid w:val="70E46F2A"/>
    <w:rsid w:val="76397D18"/>
    <w:rsid w:val="765042C1"/>
    <w:rsid w:val="766308F1"/>
    <w:rsid w:val="775C1F10"/>
    <w:rsid w:val="791912D1"/>
    <w:rsid w:val="7A7E219D"/>
    <w:rsid w:val="7AC04563"/>
    <w:rsid w:val="7BB7701D"/>
    <w:rsid w:val="7BC40083"/>
    <w:rsid w:val="7BEE3352"/>
    <w:rsid w:val="7DCF4ABD"/>
    <w:rsid w:val="7E2766A8"/>
    <w:rsid w:val="7EDC040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5">
    <w:name w:val="annotation text"/>
    <w:basedOn w:val="1"/>
    <w:link w:val="20"/>
    <w:semiHidden/>
    <w:unhideWhenUsed/>
    <w:qFormat/>
    <w:uiPriority w:val="99"/>
    <w:pPr>
      <w:jc w:val="left"/>
    </w:pPr>
  </w:style>
  <w:style w:type="paragraph" w:styleId="6">
    <w:name w:val="Body Text Indent"/>
    <w:basedOn w:val="1"/>
    <w:uiPriority w:val="0"/>
    <w:pPr>
      <w:spacing w:line="460" w:lineRule="exact"/>
      <w:ind w:firstLine="560" w:firstLineChars="200"/>
    </w:pPr>
    <w:rPr>
      <w:kern w:val="2"/>
      <w:szCs w:val="24"/>
    </w:rPr>
  </w:style>
  <w:style w:type="paragraph" w:styleId="7">
    <w:name w:val="Balloon Text"/>
    <w:basedOn w:val="1"/>
    <w:link w:val="22"/>
    <w:semiHidden/>
    <w:unhideWhenUsed/>
    <w:qFormat/>
    <w:uiPriority w:val="99"/>
    <w:rPr>
      <w:sz w:val="18"/>
      <w:szCs w:val="18"/>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1"/>
    <w:semiHidden/>
    <w:unhideWhenUsed/>
    <w:qFormat/>
    <w:uiPriority w:val="99"/>
    <w:rPr>
      <w:b/>
      <w:bCs/>
    </w:rPr>
  </w:style>
  <w:style w:type="paragraph" w:styleId="11">
    <w:name w:val="Body Text First Indent 2"/>
    <w:basedOn w:val="6"/>
    <w:qFormat/>
    <w:uiPriority w:val="0"/>
    <w:pPr>
      <w:snapToGrid/>
      <w:spacing w:after="120" w:line="312" w:lineRule="atLeast"/>
      <w:ind w:left="420" w:firstLine="420"/>
      <w:textAlignment w:val="baseline"/>
    </w:pPr>
    <w:rPr>
      <w:rFonts w:ascii="Calibri" w:hAnsi="Calibri" w:eastAsia="宋体"/>
      <w:kern w:val="0"/>
      <w:sz w:val="21"/>
      <w:szCs w:val="20"/>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semiHidden/>
    <w:qFormat/>
    <w:uiPriority w:val="99"/>
    <w:rPr>
      <w:sz w:val="18"/>
      <w:szCs w:val="18"/>
    </w:rPr>
  </w:style>
  <w:style w:type="character" w:customStyle="1" w:styleId="17">
    <w:name w:val="排版正文 Char Char"/>
    <w:link w:val="18"/>
    <w:qFormat/>
    <w:locked/>
    <w:uiPriority w:val="0"/>
    <w:rPr>
      <w:rFonts w:ascii="仿宋_GB2312" w:hAnsi="Times New Roman" w:eastAsia="仿宋_GB2312"/>
      <w:spacing w:val="8"/>
      <w:sz w:val="28"/>
      <w:szCs w:val="21"/>
    </w:rPr>
  </w:style>
  <w:style w:type="paragraph" w:customStyle="1" w:styleId="18">
    <w:name w:val="排版正文"/>
    <w:link w:val="17"/>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9">
    <w:name w:val="List Paragraph"/>
    <w:basedOn w:val="1"/>
    <w:qFormat/>
    <w:uiPriority w:val="34"/>
    <w:pPr>
      <w:ind w:firstLine="420" w:firstLineChars="200"/>
    </w:pPr>
  </w:style>
  <w:style w:type="character" w:customStyle="1" w:styleId="20">
    <w:name w:val="批注文字 Char"/>
    <w:basedOn w:val="13"/>
    <w:link w:val="5"/>
    <w:semiHidden/>
    <w:qFormat/>
    <w:uiPriority w:val="99"/>
  </w:style>
  <w:style w:type="character" w:customStyle="1" w:styleId="21">
    <w:name w:val="批注主题 Char"/>
    <w:basedOn w:val="20"/>
    <w:link w:val="10"/>
    <w:semiHidden/>
    <w:qFormat/>
    <w:uiPriority w:val="99"/>
    <w:rPr>
      <w:b/>
      <w:bCs/>
    </w:rPr>
  </w:style>
  <w:style w:type="character" w:customStyle="1" w:styleId="22">
    <w:name w:val="批注框文本 Char"/>
    <w:basedOn w:val="13"/>
    <w:link w:val="7"/>
    <w:semiHidden/>
    <w:qFormat/>
    <w:uiPriority w:val="99"/>
    <w:rPr>
      <w:sz w:val="18"/>
      <w:szCs w:val="18"/>
    </w:rPr>
  </w:style>
  <w:style w:type="paragraph" w:customStyle="1" w:styleId="23">
    <w:name w:val="表格内容居中"/>
    <w:basedOn w:val="1"/>
    <w:link w:val="26"/>
    <w:uiPriority w:val="0"/>
    <w:pPr>
      <w:spacing w:line="340" w:lineRule="exact"/>
      <w:jc w:val="center"/>
    </w:pPr>
    <w:rPr>
      <w:rFonts w:hint="eastAsia" w:ascii="仿宋" w:hAnsi="仿宋" w:eastAsia="仿宋" w:cs="Times New Roman"/>
      <w:szCs w:val="21"/>
    </w:rPr>
  </w:style>
  <w:style w:type="paragraph" w:customStyle="1" w:styleId="24">
    <w:name w:val="表格内容靠左"/>
    <w:basedOn w:val="1"/>
    <w:link w:val="27"/>
    <w:qFormat/>
    <w:uiPriority w:val="0"/>
    <w:pPr>
      <w:spacing w:line="340" w:lineRule="exact"/>
      <w:jc w:val="left"/>
    </w:pPr>
    <w:rPr>
      <w:rFonts w:hint="eastAsia" w:ascii="仿宋" w:hAnsi="仿宋" w:eastAsia="仿宋" w:cs="Times New Roman"/>
      <w:szCs w:val="21"/>
    </w:rPr>
  </w:style>
  <w:style w:type="paragraph" w:customStyle="1" w:styleId="25">
    <w:name w:val="段落"/>
    <w:basedOn w:val="1"/>
    <w:link w:val="28"/>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6">
    <w:name w:val="表格内容居中 Char"/>
    <w:link w:val="23"/>
    <w:qFormat/>
    <w:uiPriority w:val="0"/>
    <w:rPr>
      <w:rFonts w:hint="eastAsia" w:ascii="仿宋" w:hAnsi="仿宋" w:eastAsia="仿宋" w:cs="Times New Roman"/>
      <w:szCs w:val="21"/>
    </w:rPr>
  </w:style>
  <w:style w:type="character" w:customStyle="1" w:styleId="27">
    <w:name w:val="表格内容靠左 Char"/>
    <w:link w:val="24"/>
    <w:qFormat/>
    <w:uiPriority w:val="0"/>
    <w:rPr>
      <w:rFonts w:hint="eastAsia" w:ascii="仿宋" w:hAnsi="仿宋" w:eastAsia="仿宋" w:cs="Times New Roman"/>
      <w:szCs w:val="21"/>
    </w:rPr>
  </w:style>
  <w:style w:type="character" w:customStyle="1" w:styleId="28">
    <w:name w:val="段落 Char"/>
    <w:link w:val="25"/>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974</Words>
  <Characters>1017</Characters>
  <Lines>9</Lines>
  <Paragraphs>2</Paragraphs>
  <TotalTime>0</TotalTime>
  <ScaleCrop>false</ScaleCrop>
  <LinksUpToDate>false</LinksUpToDate>
  <CharactersWithSpaces>1036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2023-05-12T04:06:30Z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14887C75891E4A56B955617F007960CB_13</vt:lpwstr>
  </property>
</Properties>
</file>