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1"/>
        <w:gridCol w:w="2534"/>
        <w:gridCol w:w="1173"/>
        <w:gridCol w:w="1705"/>
        <w:gridCol w:w="890"/>
        <w:gridCol w:w="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8" w:type="pct"/>
            <w:gridSpan w:val="5"/>
            <w:tcBorders>
              <w:top w:val="single" w:color="auto" w:sz="4" w:space="0"/>
              <w:left w:val="single" w:color="auto" w:sz="4" w:space="0"/>
              <w:bottom w:val="single" w:color="auto" w:sz="4" w:space="0"/>
            </w:tcBorders>
            <w:vAlign w:val="center"/>
          </w:tcPr>
          <w:p>
            <w:pPr>
              <w:pStyle w:val="24"/>
              <w:bidi w:val="0"/>
              <w:rPr>
                <w:rFonts w:ascii="仿宋" w:hAnsi="仿宋" w:eastAsia="仿宋" w:cs="Times New Roman"/>
                <w:szCs w:val="21"/>
              </w:rPr>
            </w:pPr>
            <w:r>
              <w:rPr>
                <w:rFonts w:hint="eastAsia"/>
                <w:color w:val="auto"/>
                <w:lang w:eastAsia="zh-CN"/>
              </w:rPr>
              <w:t>广东莱森节能科技有限公司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8" w:type="pct"/>
            <w:gridSpan w:val="5"/>
            <w:tcBorders>
              <w:top w:val="single" w:color="auto" w:sz="4" w:space="0"/>
              <w:left w:val="single" w:color="auto" w:sz="4" w:space="0"/>
              <w:bottom w:val="single" w:color="auto" w:sz="4" w:space="0"/>
            </w:tcBorders>
            <w:vAlign w:val="center"/>
          </w:tcPr>
          <w:p>
            <w:pPr>
              <w:pStyle w:val="24"/>
              <w:bidi w:val="0"/>
            </w:pPr>
            <w:r>
              <w:rPr>
                <w:rFonts w:hint="eastAsia"/>
                <w:lang w:eastAsia="zh-CN"/>
              </w:rPr>
              <w:t>广东莱森节能科技有限公司年产15万立方米高端橡塑绝热材料建设项目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8" w:type="pct"/>
            <w:gridSpan w:val="5"/>
            <w:tcBorders>
              <w:top w:val="single" w:color="auto" w:sz="4" w:space="0"/>
              <w:left w:val="single" w:color="auto" w:sz="4" w:space="0"/>
              <w:bottom w:val="single" w:color="auto" w:sz="4" w:space="0"/>
            </w:tcBorders>
            <w:vAlign w:val="center"/>
          </w:tcPr>
          <w:p>
            <w:pPr>
              <w:pStyle w:val="25"/>
              <w:bidi w:val="0"/>
              <w:jc w:val="center"/>
            </w:pPr>
            <w:r>
              <w:rPr>
                <w:rFonts w:hint="eastAsia"/>
                <w:lang w:val="en-US" w:eastAsia="zh-CN"/>
              </w:rPr>
              <w:t>英德市东华镇清华园中区工业大道以东、横四路以北地块二D2-01号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8" w:type="pct"/>
            <w:gridSpan w:val="5"/>
            <w:tcBorders>
              <w:top w:val="single" w:color="auto" w:sz="4" w:space="0"/>
              <w:left w:val="single" w:color="auto" w:sz="4" w:space="0"/>
              <w:bottom w:val="single" w:color="auto" w:sz="4" w:space="0"/>
            </w:tcBorders>
            <w:vAlign w:val="center"/>
          </w:tcPr>
          <w:p>
            <w:pPr>
              <w:pStyle w:val="24"/>
              <w:bidi w:val="0"/>
              <w:rPr>
                <w:rFonts w:hint="default" w:ascii="仿宋" w:hAnsi="仿宋" w:eastAsia="仿宋" w:cs="Times New Roman"/>
                <w:szCs w:val="21"/>
                <w:lang w:val="en-US" w:eastAsia="zh-CN"/>
              </w:rPr>
            </w:pPr>
            <w:r>
              <w:rPr>
                <w:rFonts w:hint="eastAsia"/>
                <w:kern w:val="0"/>
                <w:sz w:val="21"/>
                <w:szCs w:val="21"/>
                <w:lang w:val="en-US" w:eastAsia="zh-CN"/>
              </w:rPr>
              <w:t>张小姐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8" w:type="pct"/>
            <w:gridSpan w:val="5"/>
            <w:tcBorders>
              <w:top w:val="single" w:color="auto" w:sz="4" w:space="0"/>
              <w:left w:val="single" w:color="auto" w:sz="4" w:space="0"/>
              <w:bottom w:val="single" w:color="auto" w:sz="4" w:space="0"/>
            </w:tcBorders>
            <w:vAlign w:val="center"/>
          </w:tcPr>
          <w:p>
            <w:pPr>
              <w:pStyle w:val="25"/>
              <w:bidi w:val="0"/>
              <w:jc w:val="both"/>
              <w:rPr>
                <w:rFonts w:hint="default" w:eastAsia="仿宋"/>
                <w:vertAlign w:val="baseline"/>
                <w:lang w:val="en-US" w:eastAsia="zh-CN"/>
              </w:rPr>
            </w:pPr>
            <w:r>
              <w:rPr>
                <w:rFonts w:hint="eastAsia"/>
                <w:lang w:val="en-US" w:eastAsia="zh-CN"/>
              </w:rPr>
              <w:t>该项目年产15万立方米高端橡塑绝热材料。项目主要组成：生产车间、空压机房、配电房。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4"/>
              <w:bidi w:val="0"/>
              <w:rPr>
                <w:rFonts w:hint="default" w:eastAsia="仿宋"/>
                <w:lang w:val="en-US" w:eastAsia="zh-CN"/>
              </w:rPr>
            </w:pPr>
            <w:r>
              <w:rPr>
                <w:rFonts w:hint="eastAsia"/>
                <w:lang w:val="en-US" w:eastAsia="zh-CN"/>
              </w:rPr>
              <w:t>刘付雪梅、游海</w:t>
            </w:r>
          </w:p>
        </w:tc>
        <w:tc>
          <w:tcPr>
            <w:tcW w:w="659" w:type="pct"/>
            <w:tcBorders>
              <w:top w:val="single" w:color="auto" w:sz="4" w:space="0"/>
              <w:left w:val="single" w:color="auto" w:sz="4" w:space="0"/>
              <w:bottom w:val="single" w:color="auto" w:sz="4" w:space="0"/>
            </w:tcBorders>
            <w:vAlign w:val="center"/>
          </w:tcPr>
          <w:p>
            <w:pPr>
              <w:pStyle w:val="24"/>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4"/>
              <w:bidi w:val="0"/>
              <w:rPr>
                <w:rFonts w:hint="default"/>
                <w:lang w:val="en-US" w:eastAsia="zh-CN"/>
              </w:rPr>
            </w:pPr>
            <w:r>
              <w:rPr>
                <w:rFonts w:hint="eastAsia"/>
              </w:rPr>
              <w:t>202</w:t>
            </w:r>
            <w:r>
              <w:rPr>
                <w:rFonts w:hint="eastAsia"/>
                <w:lang w:val="en-US" w:eastAsia="zh-CN"/>
              </w:rPr>
              <w:t>2.8.28</w:t>
            </w:r>
          </w:p>
        </w:tc>
        <w:tc>
          <w:tcPr>
            <w:tcW w:w="500" w:type="pct"/>
            <w:tcBorders>
              <w:top w:val="single" w:color="auto" w:sz="4" w:space="0"/>
              <w:left w:val="single" w:color="auto" w:sz="4" w:space="0"/>
              <w:bottom w:val="single" w:color="auto" w:sz="4" w:space="0"/>
            </w:tcBorders>
            <w:vAlign w:val="center"/>
          </w:tcPr>
          <w:p>
            <w:pPr>
              <w:pStyle w:val="24"/>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4"/>
              <w:bidi w:val="0"/>
              <w:rPr>
                <w:rFonts w:hint="default"/>
                <w:lang w:val="en-US"/>
              </w:rPr>
            </w:pPr>
            <w:r>
              <w:rPr>
                <w:rFonts w:hint="eastAsia"/>
                <w:kern w:val="0"/>
                <w:sz w:val="21"/>
                <w:szCs w:val="21"/>
                <w:lang w:val="en-US" w:eastAsia="zh-CN"/>
              </w:rPr>
              <w:t>张小姐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4"/>
              <w:bidi w:val="0"/>
              <w:rPr>
                <w:rFonts w:hint="eastAsia"/>
                <w:lang w:eastAsia="zh-CN"/>
              </w:rPr>
            </w:pPr>
            <w:r>
              <w:rPr>
                <w:rFonts w:hint="eastAsia"/>
                <w:lang w:val="en-US" w:eastAsia="zh-CN"/>
              </w:rPr>
              <w:t>凌光澎、何曼静</w:t>
            </w:r>
          </w:p>
        </w:tc>
        <w:tc>
          <w:tcPr>
            <w:tcW w:w="659" w:type="pct"/>
            <w:tcBorders>
              <w:top w:val="single" w:color="auto" w:sz="4" w:space="0"/>
              <w:left w:val="single" w:color="auto" w:sz="4" w:space="0"/>
              <w:bottom w:val="single" w:color="auto" w:sz="4" w:space="0"/>
            </w:tcBorders>
            <w:vAlign w:val="center"/>
          </w:tcPr>
          <w:p>
            <w:pPr>
              <w:pStyle w:val="24"/>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4"/>
              <w:bidi w:val="0"/>
              <w:rPr>
                <w:rFonts w:hint="default" w:eastAsia="仿宋"/>
                <w:lang w:val="en-US" w:eastAsia="zh-CN"/>
              </w:rPr>
            </w:pPr>
            <w:r>
              <w:rPr>
                <w:rFonts w:hint="eastAsia"/>
              </w:rPr>
              <w:t>202</w:t>
            </w:r>
            <w:r>
              <w:rPr>
                <w:rFonts w:hint="eastAsia"/>
                <w:lang w:val="en-US" w:eastAsia="zh-CN"/>
              </w:rPr>
              <w:t>2.9.05</w:t>
            </w:r>
            <w:r>
              <w:rPr>
                <w:rFonts w:hint="eastAsia"/>
              </w:rPr>
              <w:t>~</w:t>
            </w:r>
            <w:r>
              <w:rPr>
                <w:rFonts w:hint="eastAsia"/>
                <w:lang w:val="en-US" w:eastAsia="zh-CN"/>
              </w:rPr>
              <w:t>07</w:t>
            </w:r>
          </w:p>
        </w:tc>
        <w:tc>
          <w:tcPr>
            <w:tcW w:w="500" w:type="pct"/>
            <w:tcBorders>
              <w:top w:val="single" w:color="auto" w:sz="4" w:space="0"/>
              <w:left w:val="single" w:color="auto" w:sz="4" w:space="0"/>
              <w:bottom w:val="single" w:color="auto" w:sz="4" w:space="0"/>
            </w:tcBorders>
            <w:vAlign w:val="center"/>
          </w:tcPr>
          <w:p>
            <w:pPr>
              <w:pStyle w:val="24"/>
              <w:bidi w:val="0"/>
            </w:pPr>
            <w:r>
              <w:rPr>
                <w:rFonts w:hint="eastAsia"/>
              </w:rPr>
              <w:t>陪同人</w:t>
            </w:r>
          </w:p>
        </w:tc>
        <w:tc>
          <w:tcPr>
            <w:tcW w:w="506" w:type="pct"/>
            <w:tcBorders>
              <w:top w:val="single" w:color="auto" w:sz="4" w:space="0"/>
              <w:left w:val="single" w:color="auto" w:sz="4" w:space="0"/>
              <w:bottom w:val="single" w:color="auto" w:sz="4" w:space="0"/>
            </w:tcBorders>
            <w:vAlign w:val="center"/>
          </w:tcPr>
          <w:p>
            <w:pPr>
              <w:pStyle w:val="24"/>
              <w:bidi w:val="0"/>
            </w:pPr>
            <w:r>
              <w:rPr>
                <w:rFonts w:hint="eastAsia"/>
                <w:kern w:val="0"/>
                <w:sz w:val="21"/>
                <w:szCs w:val="21"/>
                <w:lang w:val="en-US" w:eastAsia="zh-CN"/>
              </w:rPr>
              <w:t>张小姐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6"/>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二氧化硫、噪声、高温、丙酮、丁酮、乙酸乙酯、乙酸甲酯。</w:t>
            </w:r>
            <w:r>
              <w:rPr>
                <w:rFonts w:hint="eastAsia"/>
                <w:lang w:val="en-US" w:eastAsia="zh-CN"/>
              </w:rPr>
              <w:t>经检测，除了开炼工噪声检测结果超过职业接触限值外，其余各岗位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6"/>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6"/>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lang w:val="en-US" w:eastAsia="zh-CN"/>
              </w:rPr>
              <w:t>制定《听力保护计划》，做好现场职业卫生监督管理工作，监督好员工配备个人防护用品。</w:t>
            </w:r>
            <w:r>
              <w:rPr>
                <w:rFonts w:hint="eastAsia"/>
              </w:rPr>
              <w:t>2）</w:t>
            </w:r>
            <w:r>
              <w:rPr>
                <w:rFonts w:hint="eastAsia"/>
                <w:color w:val="auto"/>
                <w:kern w:val="28"/>
                <w:lang w:val="en-US" w:eastAsia="zh-CN"/>
              </w:rPr>
              <w:t>企业应按照《职业卫生档案管理规范》（原安监总厅安健〔2013〕171号）的要求建立各类职业卫生档案，各类职业卫生管理资料应及时整理归档。3）建设项目在生产规模、工艺或者职业病危害因素的种类、防护设施等发生变更时，应当按照有关规定对变更内容重新进行职业病危害评价。4）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6"/>
              <w:bidi w:val="0"/>
              <w:rPr>
                <w:rFonts w:hint="eastAsia"/>
                <w:lang w:eastAsia="zh-CN"/>
              </w:rPr>
            </w:pPr>
            <w:r>
              <w:rPr>
                <w:rFonts w:hint="eastAsia"/>
              </w:rPr>
              <w:t>1）</w:t>
            </w:r>
            <w:r>
              <w:rPr>
                <w:rFonts w:hint="eastAsia"/>
                <w:lang w:val="en-US" w:eastAsia="zh-CN"/>
              </w:rPr>
              <w:t>补充原辅材料主要成分</w:t>
            </w:r>
            <w:r>
              <w:rPr>
                <w:rFonts w:hint="eastAsia"/>
              </w:rPr>
              <w:t>；2）</w:t>
            </w:r>
            <w:r>
              <w:rPr>
                <w:rFonts w:hint="eastAsia"/>
                <w:lang w:val="en-US" w:eastAsia="zh-CN"/>
              </w:rPr>
              <w:t>明确评价范围，完善职业病危害因素识别与分析评价</w:t>
            </w:r>
            <w:r>
              <w:rPr>
                <w:rFonts w:hint="eastAsia"/>
                <w:lang w:eastAsia="zh-CN"/>
              </w:rPr>
              <w:t>；</w:t>
            </w:r>
            <w:r>
              <w:rPr>
                <w:rFonts w:hint="eastAsia"/>
                <w:lang w:val="en-US" w:eastAsia="zh-CN"/>
              </w:rPr>
              <w:t>3）完善防护设施调查与分析评价</w:t>
            </w:r>
            <w:bookmarkStart w:id="0" w:name="_GoBack"/>
            <w:bookmarkEnd w:id="0"/>
            <w:r>
              <w:rPr>
                <w:rFonts w:hint="eastAsia"/>
                <w:lang w:val="en-US" w:eastAsia="zh-CN"/>
              </w:rPr>
              <w:t>；4）</w:t>
            </w:r>
            <w:r>
              <w:rPr>
                <w:rFonts w:hint="eastAsia"/>
              </w:rPr>
              <w:t>专家提出的其他个人意见</w:t>
            </w:r>
            <w:r>
              <w:rPr>
                <w:rFonts w:hint="eastAsia"/>
                <w:lang w:eastAsia="zh-CN"/>
              </w:rPr>
              <w:t>；</w:t>
            </w:r>
          </w:p>
          <w:p>
            <w:pPr>
              <w:pStyle w:val="26"/>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3125B78"/>
    <w:rsid w:val="041B0A5C"/>
    <w:rsid w:val="057A17B3"/>
    <w:rsid w:val="0721282E"/>
    <w:rsid w:val="076B3AA9"/>
    <w:rsid w:val="095C7B4D"/>
    <w:rsid w:val="0B205097"/>
    <w:rsid w:val="0CE95B9C"/>
    <w:rsid w:val="0DE62C9D"/>
    <w:rsid w:val="0E3C619F"/>
    <w:rsid w:val="0EA164EF"/>
    <w:rsid w:val="0FA933C0"/>
    <w:rsid w:val="10B4026F"/>
    <w:rsid w:val="12541D09"/>
    <w:rsid w:val="1285363F"/>
    <w:rsid w:val="156D6C3E"/>
    <w:rsid w:val="15F335E7"/>
    <w:rsid w:val="1A794883"/>
    <w:rsid w:val="1AF71484"/>
    <w:rsid w:val="1C112A19"/>
    <w:rsid w:val="1C250273"/>
    <w:rsid w:val="1C3F7586"/>
    <w:rsid w:val="1F505606"/>
    <w:rsid w:val="204038CD"/>
    <w:rsid w:val="21676C37"/>
    <w:rsid w:val="239B0E1A"/>
    <w:rsid w:val="23DA7B95"/>
    <w:rsid w:val="25553977"/>
    <w:rsid w:val="2754014A"/>
    <w:rsid w:val="27B34984"/>
    <w:rsid w:val="2A0C2A72"/>
    <w:rsid w:val="2A120388"/>
    <w:rsid w:val="2BDA68EE"/>
    <w:rsid w:val="2DD6761F"/>
    <w:rsid w:val="2E0C3040"/>
    <w:rsid w:val="2EEA6615"/>
    <w:rsid w:val="2F1C72B3"/>
    <w:rsid w:val="3045283A"/>
    <w:rsid w:val="306D402B"/>
    <w:rsid w:val="31510E64"/>
    <w:rsid w:val="34586FDF"/>
    <w:rsid w:val="34BB30CA"/>
    <w:rsid w:val="34E42621"/>
    <w:rsid w:val="351D5B33"/>
    <w:rsid w:val="35DC59EE"/>
    <w:rsid w:val="35FA1ACA"/>
    <w:rsid w:val="35FC399A"/>
    <w:rsid w:val="37143452"/>
    <w:rsid w:val="375052C0"/>
    <w:rsid w:val="3793032E"/>
    <w:rsid w:val="38857FA0"/>
    <w:rsid w:val="3D60119F"/>
    <w:rsid w:val="3DE27C36"/>
    <w:rsid w:val="3DF02037"/>
    <w:rsid w:val="3E79027E"/>
    <w:rsid w:val="406665E0"/>
    <w:rsid w:val="42B37AD7"/>
    <w:rsid w:val="42EB101F"/>
    <w:rsid w:val="436C1B2E"/>
    <w:rsid w:val="4384370E"/>
    <w:rsid w:val="452B2093"/>
    <w:rsid w:val="463D7DE3"/>
    <w:rsid w:val="46FC37FA"/>
    <w:rsid w:val="472B2331"/>
    <w:rsid w:val="486A50DB"/>
    <w:rsid w:val="4A8F4985"/>
    <w:rsid w:val="4CE511D4"/>
    <w:rsid w:val="4D1A2C2C"/>
    <w:rsid w:val="4D714816"/>
    <w:rsid w:val="4E9D1D67"/>
    <w:rsid w:val="4F1162B1"/>
    <w:rsid w:val="50642410"/>
    <w:rsid w:val="51A57D4C"/>
    <w:rsid w:val="577371DA"/>
    <w:rsid w:val="58580AAD"/>
    <w:rsid w:val="608C39E9"/>
    <w:rsid w:val="6220263B"/>
    <w:rsid w:val="63427A00"/>
    <w:rsid w:val="63D9722E"/>
    <w:rsid w:val="68A45648"/>
    <w:rsid w:val="6A116D0D"/>
    <w:rsid w:val="6A5F61B7"/>
    <w:rsid w:val="6D7221B9"/>
    <w:rsid w:val="6DFA4688"/>
    <w:rsid w:val="6E0B3951"/>
    <w:rsid w:val="6E963C85"/>
    <w:rsid w:val="6EBC193D"/>
    <w:rsid w:val="6ECB7DD2"/>
    <w:rsid w:val="6F897E6A"/>
    <w:rsid w:val="70343755"/>
    <w:rsid w:val="70E46F2A"/>
    <w:rsid w:val="76397D18"/>
    <w:rsid w:val="765042C1"/>
    <w:rsid w:val="766308F1"/>
    <w:rsid w:val="775C1F10"/>
    <w:rsid w:val="791912D1"/>
    <w:rsid w:val="7A7E219D"/>
    <w:rsid w:val="7AC04563"/>
    <w:rsid w:val="7BB7701D"/>
    <w:rsid w:val="7BC40083"/>
    <w:rsid w:val="7BEE3352"/>
    <w:rsid w:val="7DCF4ABD"/>
    <w:rsid w:val="7DFD787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napToGrid/>
      <w:spacing w:after="120" w:line="312" w:lineRule="atLeast"/>
      <w:ind w:left="420" w:firstLine="420"/>
      <w:textAlignment w:val="baseline"/>
    </w:pPr>
    <w:rPr>
      <w:rFonts w:ascii="Calibri" w:hAnsi="Calibri" w:eastAsia="宋体"/>
      <w:kern w:val="0"/>
      <w:sz w:val="21"/>
      <w:szCs w:val="20"/>
    </w:rPr>
  </w:style>
  <w:style w:type="paragraph" w:styleId="3">
    <w:name w:val="Body Text Indent"/>
    <w:basedOn w:val="1"/>
    <w:next w:val="1"/>
    <w:qFormat/>
    <w:uiPriority w:val="0"/>
    <w:pPr>
      <w:spacing w:line="460" w:lineRule="exact"/>
      <w:ind w:firstLine="560" w:firstLineChars="200"/>
    </w:pPr>
    <w:rPr>
      <w:kern w:val="2"/>
      <w:szCs w:val="24"/>
    </w:rPr>
  </w:style>
  <w:style w:type="paragraph" w:styleId="4">
    <w:name w:val="Body Text First Indent"/>
    <w:basedOn w:val="5"/>
    <w:unhideWhenUsed/>
    <w:qFormat/>
    <w:uiPriority w:val="0"/>
    <w:pPr>
      <w:ind w:firstLine="420" w:firstLineChars="100"/>
    </w:pPr>
    <w:rPr>
      <w:spacing w:val="0"/>
      <w:kern w:val="0"/>
      <w:lang w:val="en-US" w:eastAsia="zh-CN"/>
    </w:rPr>
  </w:style>
  <w:style w:type="paragraph" w:styleId="5">
    <w:name w:val="Body Text"/>
    <w:basedOn w:val="1"/>
    <w:next w:val="1"/>
    <w:unhideWhenUsed/>
    <w:qFormat/>
    <w:uiPriority w:val="99"/>
    <w:pPr>
      <w:spacing w:after="120"/>
    </w:pPr>
    <w:rPr>
      <w:spacing w:val="-6"/>
      <w:kern w:val="2"/>
    </w:rPr>
  </w:style>
  <w:style w:type="paragraph" w:styleId="7">
    <w:name w:val="annotation text"/>
    <w:basedOn w:val="1"/>
    <w:link w:val="21"/>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qFormat/>
    <w:uiPriority w:val="11"/>
    <w:pPr>
      <w:ind w:firstLine="0" w:firstLineChars="0"/>
      <w:outlineLvl w:val="1"/>
    </w:pPr>
    <w:rPr>
      <w:b/>
      <w:bCs/>
      <w:color w:val="000000"/>
      <w:spacing w:val="-6"/>
      <w:kern w:val="28"/>
      <w:szCs w:val="32"/>
    </w:rPr>
  </w:style>
  <w:style w:type="paragraph" w:styleId="12">
    <w:name w:val="annotation subject"/>
    <w:basedOn w:val="7"/>
    <w:next w:val="7"/>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7"/>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表格内容居中"/>
    <w:basedOn w:val="1"/>
    <w:link w:val="27"/>
    <w:qFormat/>
    <w:uiPriority w:val="0"/>
    <w:pPr>
      <w:spacing w:line="340" w:lineRule="exact"/>
      <w:jc w:val="center"/>
    </w:pPr>
    <w:rPr>
      <w:rFonts w:hint="eastAsia" w:ascii="仿宋" w:hAnsi="仿宋" w:eastAsia="仿宋" w:cs="Times New Roman"/>
      <w:szCs w:val="21"/>
    </w:rPr>
  </w:style>
  <w:style w:type="paragraph" w:customStyle="1" w:styleId="25">
    <w:name w:val="表格内容靠左"/>
    <w:basedOn w:val="1"/>
    <w:link w:val="28"/>
    <w:qFormat/>
    <w:uiPriority w:val="0"/>
    <w:pPr>
      <w:spacing w:line="340" w:lineRule="exact"/>
      <w:jc w:val="left"/>
    </w:pPr>
    <w:rPr>
      <w:rFonts w:hint="eastAsia" w:ascii="仿宋" w:hAnsi="仿宋" w:eastAsia="仿宋" w:cs="Times New Roman"/>
      <w:szCs w:val="21"/>
    </w:rPr>
  </w:style>
  <w:style w:type="paragraph" w:customStyle="1" w:styleId="26">
    <w:name w:val="段落"/>
    <w:basedOn w:val="1"/>
    <w:link w:val="29"/>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7">
    <w:name w:val="表格内容居中 Char"/>
    <w:link w:val="24"/>
    <w:qFormat/>
    <w:uiPriority w:val="0"/>
    <w:rPr>
      <w:rFonts w:hint="eastAsia" w:ascii="仿宋" w:hAnsi="仿宋" w:eastAsia="仿宋" w:cs="Times New Roman"/>
      <w:szCs w:val="21"/>
    </w:rPr>
  </w:style>
  <w:style w:type="character" w:customStyle="1" w:styleId="28">
    <w:name w:val="表格内容靠左 Char"/>
    <w:link w:val="25"/>
    <w:qFormat/>
    <w:uiPriority w:val="0"/>
    <w:rPr>
      <w:rFonts w:hint="eastAsia" w:ascii="仿宋" w:hAnsi="仿宋" w:eastAsia="仿宋" w:cs="Times New Roman"/>
      <w:szCs w:val="21"/>
    </w:rPr>
  </w:style>
  <w:style w:type="character" w:customStyle="1" w:styleId="29">
    <w:name w:val="段落 Char"/>
    <w:link w:val="26"/>
    <w:qFormat/>
    <w:uiPriority w:val="0"/>
    <w:rPr>
      <w:rFonts w:hint="eastAsia" w:ascii="仿宋" w:hAnsi="仿宋" w:eastAsia="仿宋" w:cs="Times New Roman"/>
      <w:szCs w:val="21"/>
    </w:rPr>
  </w:style>
  <w:style w:type="paragraph" w:customStyle="1" w:styleId="30">
    <w:name w:val="Default"/>
    <w:basedOn w:val="31"/>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1">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customStyle="1" w:styleId="32">
    <w:name w:val="正文字样"/>
    <w:basedOn w:val="6"/>
    <w:qFormat/>
    <w:uiPriority w:val="0"/>
    <w:pPr>
      <w:spacing w:after="0" w:afterLines="0"/>
      <w:ind w:firstLine="200" w:firstLineChars="200"/>
      <w:outlineLvl w:val="9"/>
    </w:pPr>
    <w:rPr>
      <w:b w:val="0"/>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940</Words>
  <Characters>991</Characters>
  <Lines>9</Lines>
  <Paragraphs>2</Paragraphs>
  <TotalTime>0</TotalTime>
  <ScaleCrop>false</ScaleCrop>
  <LinksUpToDate>false</LinksUpToDate>
  <CharactersWithSpaces>1010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2023-05-12T06:52:08Z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B9C82F241DD143E398C04B87A7DD22AB_13</vt:lpwstr>
  </property>
</Properties>
</file>