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5"/>
        <w:gridCol w:w="2535"/>
        <w:gridCol w:w="1173"/>
        <w:gridCol w:w="1705"/>
        <w:gridCol w:w="890"/>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6"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lang w:eastAsia="zh-CN"/>
              </w:rPr>
              <w:t>广东桂鑫钢铁有限公司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6" w:type="pct"/>
            <w:gridSpan w:val="5"/>
            <w:tcBorders>
              <w:top w:val="single" w:color="auto" w:sz="4" w:space="0"/>
              <w:left w:val="single" w:color="auto" w:sz="4" w:space="0"/>
              <w:bottom w:val="single" w:color="auto" w:sz="4" w:space="0"/>
            </w:tcBorders>
            <w:vAlign w:val="center"/>
          </w:tcPr>
          <w:p>
            <w:pPr>
              <w:pStyle w:val="20"/>
              <w:bidi w:val="0"/>
            </w:pPr>
            <w:r>
              <w:rPr>
                <w:rFonts w:hint="eastAsia"/>
                <w:lang w:eastAsia="zh-CN"/>
              </w:rPr>
              <w:t>广东桂鑫钢铁有限公司建设项目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6"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rPr>
              <w:t>清远市高新技术产业开发区银盏工业园嘉福工业区嘉兴路2号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6" w:type="pct"/>
            <w:gridSpan w:val="5"/>
            <w:tcBorders>
              <w:top w:val="single" w:color="auto" w:sz="4" w:space="0"/>
              <w:left w:val="single" w:color="auto" w:sz="4" w:space="0"/>
              <w:bottom w:val="single" w:color="auto" w:sz="4" w:space="0"/>
            </w:tcBorders>
            <w:vAlign w:val="center"/>
          </w:tcPr>
          <w:p>
            <w:pPr>
              <w:pStyle w:val="20"/>
              <w:bidi w:val="0"/>
              <w:rPr>
                <w:rFonts w:hint="default" w:ascii="仿宋" w:hAnsi="仿宋" w:eastAsia="仿宋" w:cs="Times New Roman"/>
                <w:szCs w:val="21"/>
                <w:lang w:val="en-US" w:eastAsia="zh-CN"/>
              </w:rPr>
            </w:pPr>
            <w:r>
              <w:rPr>
                <w:rFonts w:hint="eastAsia"/>
                <w:kern w:val="0"/>
                <w:sz w:val="21"/>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6" w:type="pct"/>
            <w:gridSpan w:val="5"/>
            <w:tcBorders>
              <w:top w:val="single" w:color="auto" w:sz="4" w:space="0"/>
              <w:left w:val="single" w:color="auto" w:sz="4" w:space="0"/>
              <w:bottom w:val="single" w:color="auto" w:sz="4" w:space="0"/>
            </w:tcBorders>
            <w:vAlign w:val="center"/>
          </w:tcPr>
          <w:p>
            <w:pPr>
              <w:pStyle w:val="21"/>
              <w:bidi w:val="0"/>
              <w:jc w:val="both"/>
              <w:rPr>
                <w:rFonts w:hint="default" w:eastAsia="仿宋"/>
                <w:vertAlign w:val="baseline"/>
                <w:lang w:val="en-US" w:eastAsia="zh-CN"/>
              </w:rPr>
            </w:pPr>
            <w:r>
              <w:rPr>
                <w:rFonts w:hint="eastAsia"/>
                <w:lang w:val="en-US" w:eastAsia="zh-CN"/>
              </w:rPr>
              <w:t>该</w:t>
            </w:r>
            <w:r>
              <w:rPr>
                <w:rFonts w:hint="eastAsia"/>
              </w:rPr>
              <w:t>项目生产热轧带肋钢筋（HRB400E、HRB400、HRB500、HRB500E尺寸：12mm-40mm），年产63万吨。</w:t>
            </w:r>
            <w:r>
              <w:rPr>
                <w:rFonts w:hint="eastAsia"/>
                <w:lang w:val="en-US" w:eastAsia="zh-CN"/>
              </w:rPr>
              <w:t>项目具体包括：水平加料系统、电弧炉、精炼炉、连铸机、加热炉、轧机线、冷床、精整、配电房、制氧站、天然气站、污水处理站、化学实验室、仓库、机修班、拆包、钢包砌筑、电炉砌筑作业、废渣处理车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5"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lang w:val="en-US" w:eastAsia="zh-CN"/>
              </w:rPr>
              <w:t>饶望冬、文明</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lang w:val="en-US" w:eastAsia="zh-CN"/>
              </w:rPr>
            </w:pPr>
            <w:r>
              <w:rPr>
                <w:rFonts w:hint="eastAsia"/>
              </w:rPr>
              <w:t>202</w:t>
            </w:r>
            <w:r>
              <w:rPr>
                <w:rFonts w:hint="eastAsia"/>
                <w:lang w:val="en-US" w:eastAsia="zh-CN"/>
              </w:rPr>
              <w:t>1.4.30</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2"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5" w:type="pct"/>
            <w:tcBorders>
              <w:top w:val="single" w:color="auto" w:sz="4" w:space="0"/>
              <w:left w:val="single" w:color="auto" w:sz="4" w:space="0"/>
              <w:bottom w:val="single" w:color="auto" w:sz="4" w:space="0"/>
            </w:tcBorders>
            <w:vAlign w:val="center"/>
          </w:tcPr>
          <w:p>
            <w:pPr>
              <w:pStyle w:val="20"/>
              <w:bidi w:val="0"/>
              <w:rPr>
                <w:rFonts w:hint="eastAsia"/>
                <w:lang w:eastAsia="zh-CN"/>
              </w:rPr>
            </w:pPr>
            <w:r>
              <w:rPr>
                <w:rFonts w:hint="eastAsia"/>
              </w:rPr>
              <w:t>彭佳、罗志贤、潘海燕</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0"/>
              <w:bidi w:val="0"/>
              <w:rPr>
                <w:rFonts w:hint="eastAsia" w:eastAsia="仿宋"/>
                <w:lang w:val="en-US" w:eastAsia="zh-CN"/>
              </w:rPr>
            </w:pPr>
            <w:r>
              <w:rPr>
                <w:rFonts w:hint="eastAsia"/>
              </w:rPr>
              <w:t>202</w:t>
            </w:r>
            <w:r>
              <w:rPr>
                <w:rFonts w:hint="eastAsia"/>
                <w:lang w:val="en-US" w:eastAsia="zh-CN"/>
              </w:rPr>
              <w:t>1.5.6</w:t>
            </w:r>
            <w:r>
              <w:rPr>
                <w:rFonts w:hint="eastAsia"/>
              </w:rPr>
              <w:t>~</w:t>
            </w:r>
            <w:r>
              <w:rPr>
                <w:rFonts w:hint="eastAsia"/>
                <w:lang w:val="en-US" w:eastAsia="zh-CN"/>
              </w:rPr>
              <w:t>8</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2"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2"/>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rPr>
              <w:t>锰及其无机化合物（按MnO2计）、铜烟、金属镍与难溶性镍化合物、氧化钙、三氧化铬、五氧化二钒烟尘、五氧化二磷、臭氧、氮氧化物（一氧化氮和二氧化氮）、二氧化硫、一氧化碳、盐酸、氨、硫化氢、其他粉尘（聚合氯化铝粉尘）、其他粉尘（聚丙烯酰胺粉尘）、其他粉尘（金属粉尘）、电焊烟尘、矽尘（总尘、呼尘）、噪声、高温、工频电磁场、紫外线。</w:t>
            </w:r>
            <w:r>
              <w:rPr>
                <w:rFonts w:hint="eastAsia"/>
                <w:lang w:val="en-US" w:eastAsia="zh-CN"/>
              </w:rPr>
              <w:t>经检测，除炼钢车间1号精炼炉副炉长和炉前工、2号35t电炉副炉长和炉前工、轧钢车间轧机线控制室操作工以及轧钢车间精整工噪声检测结果超过限值要求以外，其余各岗位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2"/>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2"/>
              <w:bidi w:val="0"/>
              <w:rPr>
                <w:rFonts w:ascii="仿宋" w:hAnsi="仿宋" w:eastAsia="仿宋" w:cs="Times New Roman"/>
                <w:szCs w:val="21"/>
              </w:rPr>
            </w:pPr>
            <w:r>
              <w:rPr>
                <w:rFonts w:hint="eastAsia"/>
              </w:rPr>
              <w:t>建议：</w:t>
            </w:r>
            <w:r>
              <w:t>1</w:t>
            </w:r>
            <w:r>
              <w:rPr>
                <w:rFonts w:hint="eastAsia"/>
              </w:rPr>
              <w:t>）</w:t>
            </w:r>
            <w:r>
              <w:rPr>
                <w:rFonts w:hint="eastAsia" w:ascii="Times New Roman" w:hAnsi="Times New Roman" w:cs="Times New Roman"/>
                <w:bCs/>
                <w:color w:val="auto"/>
                <w:szCs w:val="28"/>
              </w:rPr>
              <w:t>加强现场职业卫生管理，严格督促员工佩戴好个人防护用品，为生产人员听力做好防护</w:t>
            </w:r>
            <w:r>
              <w:t>。</w:t>
            </w:r>
            <w:r>
              <w:rPr>
                <w:rFonts w:hint="eastAsia"/>
              </w:rPr>
              <w:t>2）</w:t>
            </w:r>
            <w:r>
              <w:rPr>
                <w:rFonts w:hint="eastAsia"/>
                <w:color w:val="auto"/>
                <w:kern w:val="28"/>
              </w:rPr>
              <w:t>按企业应按照《职业卫生档案管理规范》（原安监总厅安健〔2013〕171号）的要求建立各类职业卫生档案，各类职业卫生管理资料应及时整理归档</w:t>
            </w:r>
            <w:r>
              <w:t>。</w:t>
            </w:r>
            <w:r>
              <w:rPr>
                <w:rFonts w:hint="eastAsia"/>
              </w:rPr>
              <w:t>3）</w:t>
            </w:r>
            <w:r>
              <w:rPr>
                <w:rFonts w:hint="eastAsia"/>
                <w:color w:val="auto"/>
                <w:lang w:val="en-US" w:eastAsia="zh-CN"/>
              </w:rPr>
              <w:t>建设项目在生产规模、工艺或者职业病危害因素的种类、防护设施等发生变更时，应当按照有关规定对变更内容重新进行职业病危害评价</w:t>
            </w:r>
            <w:r>
              <w:t>。</w:t>
            </w:r>
            <w:r>
              <w:rPr>
                <w:rFonts w:hint="eastAsia"/>
              </w:rPr>
              <w:t>4）</w:t>
            </w:r>
            <w:r>
              <w:rPr>
                <w:rFonts w:hint="eastAsia"/>
                <w:color w:val="auto"/>
              </w:rPr>
              <w:t>按照《工作场所职业卫生管理规定》（中华人民共和国国家卫生健康委员会令第5号，2021年）的要求，加强该项目的职业卫生管理工作，应做好每年一次的作业场所职业病危害因素定期检测工作，</w:t>
            </w:r>
            <w:r>
              <w:rPr>
                <w:rFonts w:hint="eastAsia"/>
                <w:color w:val="auto"/>
                <w:lang w:val="en-US" w:eastAsia="zh-CN"/>
              </w:rPr>
              <w:t>每三年做一次职业病危害现状评价，</w:t>
            </w:r>
            <w:r>
              <w:rPr>
                <w:rFonts w:hint="eastAsia"/>
                <w:color w:val="auto"/>
              </w:rPr>
              <w:t>检测、评价结果应当存入本单位职业卫生档案</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2"/>
              <w:bidi w:val="0"/>
              <w:rPr>
                <w:rFonts w:hint="eastAsia"/>
                <w:lang w:eastAsia="zh-CN"/>
              </w:rPr>
            </w:pPr>
            <w:r>
              <w:rPr>
                <w:rFonts w:hint="eastAsia"/>
              </w:rPr>
              <w:t>1）</w:t>
            </w:r>
            <w:r>
              <w:rPr>
                <w:rFonts w:hint="eastAsia"/>
                <w:lang w:val="en-US" w:eastAsia="zh-CN"/>
              </w:rPr>
              <w:t>明确评价范围，并完善职业病危害因素识别</w:t>
            </w:r>
            <w:r>
              <w:rPr>
                <w:rFonts w:hint="eastAsia"/>
              </w:rPr>
              <w:t>；2）</w:t>
            </w:r>
            <w:r>
              <w:rPr>
                <w:rFonts w:hint="eastAsia"/>
                <w:lang w:val="en-US" w:eastAsia="zh-CN"/>
              </w:rPr>
              <w:t>完善各工序生产工艺流程</w:t>
            </w:r>
            <w:r>
              <w:rPr>
                <w:rFonts w:hint="eastAsia"/>
                <w:lang w:eastAsia="zh-CN"/>
              </w:rPr>
              <w:t>；</w:t>
            </w:r>
            <w:r>
              <w:rPr>
                <w:rFonts w:hint="eastAsia"/>
                <w:lang w:val="en-US" w:eastAsia="zh-CN"/>
              </w:rPr>
              <w:t>3）完善应急救援设施分析评价；4）</w:t>
            </w:r>
            <w:bookmarkStart w:id="0" w:name="_GoBack"/>
            <w:bookmarkEnd w:id="0"/>
            <w:r>
              <w:rPr>
                <w:rFonts w:hint="eastAsia"/>
              </w:rPr>
              <w:t>专家提出的其他个人意见</w:t>
            </w:r>
            <w:r>
              <w:rPr>
                <w:rFonts w:hint="eastAsia"/>
                <w:lang w:eastAsia="zh-CN"/>
              </w:rPr>
              <w:t>；</w:t>
            </w:r>
          </w:p>
          <w:p>
            <w:pPr>
              <w:pStyle w:val="22"/>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57A17B3"/>
    <w:rsid w:val="0721282E"/>
    <w:rsid w:val="076B3AA9"/>
    <w:rsid w:val="095C7B4D"/>
    <w:rsid w:val="0CE95B9C"/>
    <w:rsid w:val="0DE62C9D"/>
    <w:rsid w:val="0FA933C0"/>
    <w:rsid w:val="1285363F"/>
    <w:rsid w:val="156D6C3E"/>
    <w:rsid w:val="1AF71484"/>
    <w:rsid w:val="1C112A19"/>
    <w:rsid w:val="1C250273"/>
    <w:rsid w:val="1C3F7586"/>
    <w:rsid w:val="21676C37"/>
    <w:rsid w:val="23DA7B95"/>
    <w:rsid w:val="2754014A"/>
    <w:rsid w:val="27B34984"/>
    <w:rsid w:val="2A120388"/>
    <w:rsid w:val="2DD6761F"/>
    <w:rsid w:val="2E0C3040"/>
    <w:rsid w:val="2EEA6615"/>
    <w:rsid w:val="2F1C72B3"/>
    <w:rsid w:val="3045283A"/>
    <w:rsid w:val="31510E64"/>
    <w:rsid w:val="34BB30CA"/>
    <w:rsid w:val="35DC59EE"/>
    <w:rsid w:val="35FA1ACA"/>
    <w:rsid w:val="35FC399A"/>
    <w:rsid w:val="3793032E"/>
    <w:rsid w:val="38857FA0"/>
    <w:rsid w:val="3E79027E"/>
    <w:rsid w:val="406665E0"/>
    <w:rsid w:val="42EB101F"/>
    <w:rsid w:val="436C1B2E"/>
    <w:rsid w:val="472B2331"/>
    <w:rsid w:val="4D714816"/>
    <w:rsid w:val="4E9D1D67"/>
    <w:rsid w:val="50642410"/>
    <w:rsid w:val="51A57D4C"/>
    <w:rsid w:val="577371DA"/>
    <w:rsid w:val="58580AAD"/>
    <w:rsid w:val="63427A00"/>
    <w:rsid w:val="6A116D0D"/>
    <w:rsid w:val="6DFA4688"/>
    <w:rsid w:val="6E0B3951"/>
    <w:rsid w:val="6EBC193D"/>
    <w:rsid w:val="6F897E6A"/>
    <w:rsid w:val="70E46F2A"/>
    <w:rsid w:val="76397D18"/>
    <w:rsid w:val="765042C1"/>
    <w:rsid w:val="766308F1"/>
    <w:rsid w:val="791912D1"/>
    <w:rsid w:val="7A7E219D"/>
    <w:rsid w:val="7AC04563"/>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 w:type="paragraph" w:customStyle="1" w:styleId="20">
    <w:name w:val="表格内容居中"/>
    <w:basedOn w:val="1"/>
    <w:link w:val="23"/>
    <w:uiPriority w:val="0"/>
    <w:pPr>
      <w:spacing w:line="340" w:lineRule="exact"/>
      <w:jc w:val="center"/>
    </w:pPr>
    <w:rPr>
      <w:rFonts w:hint="eastAsia" w:ascii="仿宋" w:hAnsi="仿宋" w:eastAsia="仿宋" w:cs="Times New Roman"/>
      <w:szCs w:val="21"/>
    </w:rPr>
  </w:style>
  <w:style w:type="paragraph" w:customStyle="1" w:styleId="21">
    <w:name w:val="表格内容靠左"/>
    <w:basedOn w:val="1"/>
    <w:link w:val="24"/>
    <w:qFormat/>
    <w:uiPriority w:val="0"/>
    <w:pPr>
      <w:spacing w:line="340" w:lineRule="exact"/>
      <w:jc w:val="left"/>
    </w:pPr>
    <w:rPr>
      <w:rFonts w:hint="eastAsia" w:ascii="仿宋" w:hAnsi="仿宋" w:eastAsia="仿宋" w:cs="Times New Roman"/>
      <w:szCs w:val="21"/>
    </w:rPr>
  </w:style>
  <w:style w:type="paragraph" w:customStyle="1" w:styleId="22">
    <w:name w:val="段落"/>
    <w:basedOn w:val="1"/>
    <w:link w:val="25"/>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3">
    <w:name w:val="表格内容居中 Char"/>
    <w:link w:val="20"/>
    <w:qFormat/>
    <w:uiPriority w:val="0"/>
    <w:rPr>
      <w:rFonts w:hint="eastAsia" w:ascii="仿宋" w:hAnsi="仿宋" w:eastAsia="仿宋" w:cs="Times New Roman"/>
      <w:szCs w:val="21"/>
    </w:rPr>
  </w:style>
  <w:style w:type="character" w:customStyle="1" w:styleId="24">
    <w:name w:val="表格内容靠左 Char"/>
    <w:link w:val="21"/>
    <w:qFormat/>
    <w:uiPriority w:val="0"/>
    <w:rPr>
      <w:rFonts w:hint="eastAsia" w:ascii="仿宋" w:hAnsi="仿宋" w:eastAsia="仿宋" w:cs="Times New Roman"/>
      <w:szCs w:val="21"/>
    </w:rPr>
  </w:style>
  <w:style w:type="character" w:customStyle="1" w:styleId="25">
    <w:name w:val="段落 Char"/>
    <w:link w:val="22"/>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1077</Words>
  <Characters>1109</Characters>
  <Lines>9</Lines>
  <Paragraphs>2</Paragraphs>
  <TotalTime>1</TotalTime>
  <ScaleCrop>false</ScaleCrop>
  <LinksUpToDate>false</LinksUpToDate>
  <CharactersWithSpaces>1128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2023-05-12T01:20:49Z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234709BC55D94195AB9BA25824E77E02_13</vt:lpwstr>
  </property>
</Properties>
</file>