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ascii="仿宋" w:hAnsi="仿宋" w:eastAsia="仿宋" w:cs="Times New Roman"/>
                <w:szCs w:val="21"/>
              </w:rPr>
            </w:pPr>
            <w:r>
              <w:rPr>
                <w:rFonts w:hint="eastAsia"/>
                <w:color w:val="auto"/>
                <w:lang w:eastAsia="zh-CN"/>
              </w:rPr>
              <w:t>佛山市和旺塑料包装有限公司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eastAsia="zh-CN"/>
              </w:rPr>
              <w:t>佛山市和旺塑料包装有限公司增资扩产项目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val="en-US" w:eastAsia="zh-CN"/>
              </w:rPr>
              <w:t>佛山市高明区杨和镇桃花街1号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hint="default" w:ascii="仿宋" w:hAnsi="仿宋" w:eastAsia="仿宋" w:cs="Times New Roman"/>
                <w:szCs w:val="21"/>
                <w:lang w:val="en-US" w:eastAsia="zh-CN"/>
              </w:rPr>
            </w:pPr>
            <w:r>
              <w:rPr>
                <w:rFonts w:hint="eastAsia"/>
                <w:kern w:val="0"/>
                <w:sz w:val="21"/>
                <w:szCs w:val="21"/>
                <w:lang w:val="en-US" w:eastAsia="zh-CN"/>
              </w:rPr>
              <w:t>谭小姐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2"/>
              <w:bidi w:val="0"/>
              <w:jc w:val="both"/>
              <w:rPr>
                <w:rFonts w:hint="default" w:eastAsia="仿宋"/>
                <w:vertAlign w:val="baseline"/>
                <w:lang w:val="en-US" w:eastAsia="zh-CN"/>
              </w:rPr>
            </w:pPr>
            <w:r>
              <w:rPr>
                <w:rFonts w:hint="eastAsia"/>
                <w:lang w:val="en-US" w:eastAsia="zh-CN"/>
              </w:rPr>
              <w:t>该项目总投资约2000万元人民币，总设计生产能力为年产3.2亿个瓶盖。项目具体包括：瓶盖车间、抽料房、包装房、实验室、仓库。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lang w:val="en-US" w:eastAsia="zh-CN"/>
              </w:rPr>
              <w:t>饶望冬、赵文朋</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lang w:val="en-US" w:eastAsia="zh-CN"/>
              </w:rPr>
            </w:pPr>
            <w:r>
              <w:rPr>
                <w:rFonts w:hint="eastAsia"/>
              </w:rPr>
              <w:t>202</w:t>
            </w:r>
            <w:r>
              <w:rPr>
                <w:rFonts w:hint="eastAsia"/>
                <w:lang w:val="en-US" w:eastAsia="zh-CN"/>
              </w:rPr>
              <w:t>2.3.30</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谭小姐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1"/>
              <w:bidi w:val="0"/>
              <w:rPr>
                <w:rFonts w:hint="eastAsia"/>
                <w:lang w:eastAsia="zh-CN"/>
              </w:rPr>
            </w:pPr>
            <w:r>
              <w:rPr>
                <w:rFonts w:hint="eastAsia"/>
                <w:lang w:val="en-US" w:eastAsia="zh-CN"/>
              </w:rPr>
              <w:t>陈金铨、黄倩雯、魏和玉</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rPr>
              <w:t>202</w:t>
            </w:r>
            <w:r>
              <w:rPr>
                <w:rFonts w:hint="eastAsia"/>
                <w:lang w:val="en-US" w:eastAsia="zh-CN"/>
              </w:rPr>
              <w:t>2.4.06</w:t>
            </w:r>
            <w:r>
              <w:rPr>
                <w:rFonts w:hint="eastAsia"/>
              </w:rPr>
              <w:t>~</w:t>
            </w:r>
            <w:r>
              <w:rPr>
                <w:rFonts w:hint="eastAsia"/>
                <w:lang w:val="en-US" w:eastAsia="zh-CN"/>
              </w:rPr>
              <w:t>08</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谭小姐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3"/>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聚乙烯粉尘、噪声。</w:t>
            </w:r>
            <w:r>
              <w:rPr>
                <w:rFonts w:hint="eastAsia"/>
                <w:lang w:val="en-US" w:eastAsia="zh-CN"/>
              </w:rPr>
              <w:t>经检测，除抽料工和操作工噪声检测结果超过职业接触限值以外，其余各岗位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3"/>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3"/>
              <w:bidi w:val="0"/>
              <w:rPr>
                <w:rFonts w:hint="eastAsia"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企业应按照《职业卫生档案管理规范》（原安监总厅安健〔2013〕171号）的要求建立各类职业卫生档案，各类职业卫生管理资料应及时整理归档。</w:t>
            </w:r>
            <w:r>
              <w:rPr>
                <w:rFonts w:hint="eastAsia"/>
              </w:rPr>
              <w:t>2）</w:t>
            </w:r>
            <w:r>
              <w:rPr>
                <w:rFonts w:hint="eastAsia"/>
                <w:color w:val="auto"/>
                <w:kern w:val="28"/>
              </w:rPr>
              <w:t>建设项目在生产规模、工艺或者职业病危害因素的种类、防护设施等发生变更时，应当按照有关规定对变更内容重新进行职业病危害评价。</w:t>
            </w:r>
            <w:r>
              <w:rPr>
                <w:rFonts w:hint="eastAsia"/>
                <w:color w:val="auto"/>
                <w:kern w:val="28"/>
                <w:lang w:val="en-US" w:eastAsia="zh-CN"/>
              </w:rPr>
              <w:t>3）按照《工作场所职业卫生管理规定》（中华人民共和国国家卫生健康委员会令第5号，2021年）的要求，加强该项目的职业卫生管理工作，应做好每三年一次的作业场所职业病危害因素定期检测工作，检测、评价结果应当存入本单位职业卫生档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3"/>
              <w:bidi w:val="0"/>
              <w:rPr>
                <w:rFonts w:hint="eastAsia"/>
                <w:lang w:eastAsia="zh-CN"/>
              </w:rPr>
            </w:pPr>
            <w:r>
              <w:rPr>
                <w:rFonts w:hint="eastAsia"/>
              </w:rPr>
              <w:t>1）</w:t>
            </w:r>
            <w:r>
              <w:rPr>
                <w:rFonts w:hint="eastAsia"/>
                <w:lang w:val="en-US" w:eastAsia="zh-CN"/>
              </w:rPr>
              <w:t>补充印刷模板清洗时的防护措施分析评价</w:t>
            </w:r>
            <w:r>
              <w:rPr>
                <w:rFonts w:hint="eastAsia"/>
              </w:rPr>
              <w:t>；2）</w:t>
            </w:r>
            <w:r>
              <w:rPr>
                <w:rFonts w:hint="eastAsia"/>
                <w:lang w:val="en-US" w:eastAsia="zh-CN"/>
              </w:rPr>
              <w:t>进一步完善职业健康监护分析</w:t>
            </w:r>
            <w:bookmarkStart w:id="0" w:name="_GoBack"/>
            <w:bookmarkEnd w:id="0"/>
            <w:r>
              <w:rPr>
                <w:rFonts w:hint="eastAsia"/>
                <w:lang w:eastAsia="zh-CN"/>
              </w:rPr>
              <w:t>；</w:t>
            </w:r>
            <w:r>
              <w:rPr>
                <w:rFonts w:hint="eastAsia"/>
                <w:lang w:val="en-US" w:eastAsia="zh-CN"/>
              </w:rPr>
              <w:t>3）</w:t>
            </w:r>
            <w:r>
              <w:rPr>
                <w:rFonts w:hint="eastAsia"/>
              </w:rPr>
              <w:t>专家提出的其他个人意见</w:t>
            </w:r>
            <w:r>
              <w:rPr>
                <w:rFonts w:hint="eastAsia"/>
                <w:lang w:eastAsia="zh-CN"/>
              </w:rPr>
              <w:t>；</w:t>
            </w:r>
          </w:p>
          <w:p>
            <w:pPr>
              <w:pStyle w:val="23"/>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A164EF"/>
    <w:rsid w:val="0FA933C0"/>
    <w:rsid w:val="10B4026F"/>
    <w:rsid w:val="12541D09"/>
    <w:rsid w:val="1285363F"/>
    <w:rsid w:val="156D6C3E"/>
    <w:rsid w:val="1ABD41C4"/>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72B2331"/>
    <w:rsid w:val="486A50DB"/>
    <w:rsid w:val="4D1A2C2C"/>
    <w:rsid w:val="4D714816"/>
    <w:rsid w:val="4E9D1D67"/>
    <w:rsid w:val="4F1162B1"/>
    <w:rsid w:val="50642410"/>
    <w:rsid w:val="51A57D4C"/>
    <w:rsid w:val="577371DA"/>
    <w:rsid w:val="58580AAD"/>
    <w:rsid w:val="608C39E9"/>
    <w:rsid w:val="63427A00"/>
    <w:rsid w:val="6A116D0D"/>
    <w:rsid w:val="6DFA4688"/>
    <w:rsid w:val="6E0B3951"/>
    <w:rsid w:val="6EBC193D"/>
    <w:rsid w:val="6F897E6A"/>
    <w:rsid w:val="70343755"/>
    <w:rsid w:val="70E46F2A"/>
    <w:rsid w:val="76397D18"/>
    <w:rsid w:val="765042C1"/>
    <w:rsid w:val="766308F1"/>
    <w:rsid w:val="77014311"/>
    <w:rsid w:val="775C1F10"/>
    <w:rsid w:val="791912D1"/>
    <w:rsid w:val="7A7E219D"/>
    <w:rsid w:val="7AC04563"/>
    <w:rsid w:val="7BB7701D"/>
    <w:rsid w:val="7BC40083"/>
    <w:rsid w:val="7BEE3352"/>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排版正文 Char Char"/>
    <w:link w:val="16"/>
    <w:qFormat/>
    <w:locked/>
    <w:uiPriority w:val="0"/>
    <w:rPr>
      <w:rFonts w:ascii="仿宋_GB2312" w:hAnsi="Times New Roman" w:eastAsia="仿宋_GB2312"/>
      <w:spacing w:val="8"/>
      <w:sz w:val="28"/>
      <w:szCs w:val="21"/>
    </w:rPr>
  </w:style>
  <w:style w:type="paragraph" w:customStyle="1" w:styleId="16">
    <w:name w:val="排版正文"/>
    <w:link w:val="15"/>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1"/>
    <w:link w:val="5"/>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1"/>
    <w:link w:val="6"/>
    <w:semiHidden/>
    <w:qFormat/>
    <w:uiPriority w:val="99"/>
    <w:rPr>
      <w:sz w:val="18"/>
      <w:szCs w:val="18"/>
    </w:rPr>
  </w:style>
  <w:style w:type="paragraph" w:customStyle="1" w:styleId="21">
    <w:name w:val="表格内容居中"/>
    <w:basedOn w:val="1"/>
    <w:link w:val="24"/>
    <w:qFormat/>
    <w:uiPriority w:val="0"/>
    <w:pPr>
      <w:spacing w:line="340" w:lineRule="exact"/>
      <w:jc w:val="center"/>
    </w:pPr>
    <w:rPr>
      <w:rFonts w:hint="eastAsia" w:ascii="仿宋" w:hAnsi="仿宋" w:eastAsia="仿宋" w:cs="Times New Roman"/>
      <w:szCs w:val="21"/>
    </w:rPr>
  </w:style>
  <w:style w:type="paragraph" w:customStyle="1" w:styleId="22">
    <w:name w:val="表格内容靠左"/>
    <w:basedOn w:val="1"/>
    <w:link w:val="25"/>
    <w:qFormat/>
    <w:uiPriority w:val="0"/>
    <w:pPr>
      <w:spacing w:line="340" w:lineRule="exact"/>
      <w:jc w:val="left"/>
    </w:pPr>
    <w:rPr>
      <w:rFonts w:hint="eastAsia" w:ascii="仿宋" w:hAnsi="仿宋" w:eastAsia="仿宋" w:cs="Times New Roman"/>
      <w:szCs w:val="21"/>
    </w:rPr>
  </w:style>
  <w:style w:type="paragraph" w:customStyle="1" w:styleId="23">
    <w:name w:val="段落"/>
    <w:basedOn w:val="1"/>
    <w:link w:val="26"/>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4">
    <w:name w:val="表格内容居中 Char"/>
    <w:link w:val="21"/>
    <w:qFormat/>
    <w:uiPriority w:val="0"/>
    <w:rPr>
      <w:rFonts w:hint="eastAsia" w:ascii="仿宋" w:hAnsi="仿宋" w:eastAsia="仿宋" w:cs="Times New Roman"/>
      <w:szCs w:val="21"/>
    </w:rPr>
  </w:style>
  <w:style w:type="character" w:customStyle="1" w:styleId="25">
    <w:name w:val="表格内容靠左 Char"/>
    <w:link w:val="22"/>
    <w:qFormat/>
    <w:uiPriority w:val="0"/>
    <w:rPr>
      <w:rFonts w:hint="eastAsia" w:ascii="仿宋" w:hAnsi="仿宋" w:eastAsia="仿宋" w:cs="Times New Roman"/>
      <w:szCs w:val="21"/>
    </w:rPr>
  </w:style>
  <w:style w:type="character" w:customStyle="1" w:styleId="26">
    <w:name w:val="段落 Char"/>
    <w:link w:val="23"/>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852</Words>
  <Characters>885</Characters>
  <Lines>9</Lines>
  <Paragraphs>2</Paragraphs>
  <TotalTime>0</TotalTime>
  <ScaleCrop>false</ScaleCrop>
  <LinksUpToDate>false</LinksUpToDate>
  <CharactersWithSpaces>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2023-05-16T07:15:34Z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321B3D0E952D4C3DB011ACD125EEB3F5_13</vt:lpwstr>
  </property>
</Properties>
</file>