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1"/>
        <w:gridCol w:w="2463"/>
        <w:gridCol w:w="1294"/>
        <w:gridCol w:w="1858"/>
        <w:gridCol w:w="849"/>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广州森六塑件有限公司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广州森六塑件有限公司涂装BC线改造项目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广东省</w:t>
            </w:r>
            <w:r>
              <w:rPr>
                <w:rFonts w:hint="eastAsia" w:ascii="仿宋" w:hAnsi="仿宋" w:eastAsia="仿宋" w:cs="Times New Roman"/>
                <w:szCs w:val="21"/>
                <w:lang w:val="en-US" w:eastAsia="zh-CN"/>
              </w:rPr>
              <w:t>广州市黄埔区</w:t>
            </w:r>
            <w:r>
              <w:rPr>
                <w:rFonts w:hint="eastAsia" w:ascii="仿宋" w:hAnsi="仿宋" w:eastAsia="仿宋" w:cs="Times New Roman"/>
                <w:szCs w:val="21"/>
                <w:lang w:eastAsia="zh-CN"/>
              </w:rPr>
              <w:t>永和经济区田园东路13号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49"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该项目主要是对涂装B线、C线进行了改造，改造内容主要为：</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设备数量及生产模式的变化：新增自动化设备，替换老旧设备，涂装B线、C线由手工线改为自动化生产线，同时保留了用于新产品试喷的手工试作间。除手工试作间的喷漆房仍为水帘喷房外，自动化线喷漆房升级为文丘里喷房，其它处理措施不变。</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2）平面布局的变化：为了后续生产线操作的连续性及便利性，升级改造后涂装B、C线由厂房内北侧靠东面调整至原位置西面（紧邻原位置），与厂房原布局中的涂装件素材及完成品放置区的位置进行对调。</w:t>
            </w:r>
          </w:p>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项目的建设不新增产能，不改变厂区的生产工艺、原辅材料种类及用量。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丁伦、刘付雪梅</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2023.2.24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凌光澎</w:t>
            </w:r>
            <w:r>
              <w:rPr>
                <w:rFonts w:hint="eastAsia" w:ascii="仿宋" w:hAnsi="仿宋" w:eastAsia="仿宋" w:cs="Times New Roman"/>
                <w:szCs w:val="21"/>
              </w:rPr>
              <w:t>、邱汉聪</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2023.3.8~3.10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黄小姐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苯、甲苯、二甲苯、乙苯、正己烷、环己烷、戊烷、壬烷、丙酮、丁酮、乙酸甲酯、乙酸乙酯、乙酸丁酯、甲基丙烯酸甲酯、甲醇、异丙醇、正丁醇、2-丁氧基乙醇、二氯甲烷、三氯乙烯、萘、其他粉尘、噪声、振动（手传振动）等。</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通过结合调查情况和现场检查结果综合分析，本项目正常生产过程中最终实际接触的职业病危害因素有：苯、甲苯、二甲苯、正己烷、三氯乙烯、其他粉尘、噪声、振动（手传振动）。</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根据所制定的听力保护计划，加强对噪声作业岗位的管理。职业卫生管理人员及车间主管在日常管理工作中加强对车间作业人员使用个人防护用品的监督，保证作业人员均能够按照要求正确的佩戴个人防护用品。2）建议该公司职业卫生管理人员进一步完善职业卫生管理制度及职业卫生档案。3）建议该公司今后若有新建、改建、扩建的工程建设项目和技术改造、技术引进项目，且可能产生职业病危害的，应当按照国家有关建设项目职业病防护设施“三同时”监督管理的规定，进行职业病危害预评价、职业病防护设施设计、职业病危害控制效果评价及相应的评审，组织职业病防护设施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细化调漆、供漆、前处理人工除尘、除脂的工程分析内容</w:t>
            </w:r>
            <w:r>
              <w:rPr>
                <w:rFonts w:hint="eastAsia" w:ascii="仿宋" w:hAnsi="仿宋" w:eastAsia="仿宋" w:cs="Times New Roman"/>
                <w:szCs w:val="21"/>
              </w:rPr>
              <w:t>；</w:t>
            </w:r>
            <w:r>
              <w:rPr>
                <w:rFonts w:hint="eastAsia" w:ascii="仿宋" w:hAnsi="仿宋" w:eastAsia="仿宋" w:cs="Times New Roman"/>
                <w:szCs w:val="21"/>
                <w:lang w:val="en-US" w:eastAsia="zh-CN"/>
              </w:rPr>
              <w:t>2）完善调漆间、自动喷涂线通风换气和气流组织的分析与评价；3）</w:t>
            </w:r>
            <w:r>
              <w:rPr>
                <w:rFonts w:hint="eastAsia" w:ascii="仿宋" w:hAnsi="仿宋" w:eastAsia="仿宋" w:cs="Times New Roman"/>
                <w:szCs w:val="21"/>
              </w:rPr>
              <w:t>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p>
        </w:tc>
      </w:tr>
    </w:tbl>
    <w:p>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38408F7"/>
    <w:rsid w:val="073C34BF"/>
    <w:rsid w:val="09297649"/>
    <w:rsid w:val="097371DC"/>
    <w:rsid w:val="0A6C6CBE"/>
    <w:rsid w:val="0BD92149"/>
    <w:rsid w:val="0C25691C"/>
    <w:rsid w:val="0D1A5D55"/>
    <w:rsid w:val="0D9F589A"/>
    <w:rsid w:val="0E8027DC"/>
    <w:rsid w:val="0F5A59EB"/>
    <w:rsid w:val="10ED3781"/>
    <w:rsid w:val="111A69C5"/>
    <w:rsid w:val="117660B3"/>
    <w:rsid w:val="11C96400"/>
    <w:rsid w:val="120C558C"/>
    <w:rsid w:val="125E728B"/>
    <w:rsid w:val="149A1346"/>
    <w:rsid w:val="153C270C"/>
    <w:rsid w:val="153F699F"/>
    <w:rsid w:val="15A703A2"/>
    <w:rsid w:val="18643D3F"/>
    <w:rsid w:val="194B7296"/>
    <w:rsid w:val="1AE17EB2"/>
    <w:rsid w:val="1AE974BB"/>
    <w:rsid w:val="1B0353F5"/>
    <w:rsid w:val="1BA77ADC"/>
    <w:rsid w:val="1C2D0D45"/>
    <w:rsid w:val="1D655E72"/>
    <w:rsid w:val="1D894E19"/>
    <w:rsid w:val="1F226CEB"/>
    <w:rsid w:val="1F8B3B8B"/>
    <w:rsid w:val="23264FFC"/>
    <w:rsid w:val="235749A6"/>
    <w:rsid w:val="25E01C4D"/>
    <w:rsid w:val="264233C0"/>
    <w:rsid w:val="26AA663B"/>
    <w:rsid w:val="27F751B9"/>
    <w:rsid w:val="28566540"/>
    <w:rsid w:val="2C9662B4"/>
    <w:rsid w:val="2CE83322"/>
    <w:rsid w:val="2D362271"/>
    <w:rsid w:val="2D49244D"/>
    <w:rsid w:val="2E8A6E88"/>
    <w:rsid w:val="2EC102CF"/>
    <w:rsid w:val="2FC968E8"/>
    <w:rsid w:val="3019150F"/>
    <w:rsid w:val="30A734F4"/>
    <w:rsid w:val="320555C9"/>
    <w:rsid w:val="32603105"/>
    <w:rsid w:val="32BF7DFB"/>
    <w:rsid w:val="35511A47"/>
    <w:rsid w:val="356C7D94"/>
    <w:rsid w:val="36056CF3"/>
    <w:rsid w:val="3716184E"/>
    <w:rsid w:val="37343A5F"/>
    <w:rsid w:val="38D86941"/>
    <w:rsid w:val="39C11183"/>
    <w:rsid w:val="3C0761D6"/>
    <w:rsid w:val="3CCD6FA5"/>
    <w:rsid w:val="3D2752D5"/>
    <w:rsid w:val="3D5207AE"/>
    <w:rsid w:val="3F87786E"/>
    <w:rsid w:val="3FA73C06"/>
    <w:rsid w:val="3FB93A8C"/>
    <w:rsid w:val="40884444"/>
    <w:rsid w:val="40C65ACB"/>
    <w:rsid w:val="40DB376D"/>
    <w:rsid w:val="40EA5463"/>
    <w:rsid w:val="41FA1D1A"/>
    <w:rsid w:val="422E07C5"/>
    <w:rsid w:val="42B86F16"/>
    <w:rsid w:val="42E52372"/>
    <w:rsid w:val="43AA78B4"/>
    <w:rsid w:val="43B55ADA"/>
    <w:rsid w:val="43C60BAF"/>
    <w:rsid w:val="464168ED"/>
    <w:rsid w:val="470141D4"/>
    <w:rsid w:val="48413B21"/>
    <w:rsid w:val="4B901E38"/>
    <w:rsid w:val="4BCF2B77"/>
    <w:rsid w:val="4C153B45"/>
    <w:rsid w:val="4C932747"/>
    <w:rsid w:val="4CC820E0"/>
    <w:rsid w:val="4EF1188A"/>
    <w:rsid w:val="4F440EC0"/>
    <w:rsid w:val="4FF428D3"/>
    <w:rsid w:val="510D4856"/>
    <w:rsid w:val="51347795"/>
    <w:rsid w:val="51AA3E0A"/>
    <w:rsid w:val="52545B77"/>
    <w:rsid w:val="53411E8B"/>
    <w:rsid w:val="55150F1E"/>
    <w:rsid w:val="555D1CEE"/>
    <w:rsid w:val="5677342B"/>
    <w:rsid w:val="57F563A3"/>
    <w:rsid w:val="58BA59F2"/>
    <w:rsid w:val="58D84D64"/>
    <w:rsid w:val="598712B7"/>
    <w:rsid w:val="5A6C6884"/>
    <w:rsid w:val="5AF32055"/>
    <w:rsid w:val="5AF80E2D"/>
    <w:rsid w:val="5BBA6E87"/>
    <w:rsid w:val="5BF34CF4"/>
    <w:rsid w:val="5C972C81"/>
    <w:rsid w:val="5CCA3EEF"/>
    <w:rsid w:val="5D4041AE"/>
    <w:rsid w:val="5EF132A9"/>
    <w:rsid w:val="5FCC51F4"/>
    <w:rsid w:val="6291178B"/>
    <w:rsid w:val="62CF061A"/>
    <w:rsid w:val="6346377C"/>
    <w:rsid w:val="63536A40"/>
    <w:rsid w:val="64CE2C89"/>
    <w:rsid w:val="64FA69CA"/>
    <w:rsid w:val="654A6052"/>
    <w:rsid w:val="658A7316"/>
    <w:rsid w:val="674F5001"/>
    <w:rsid w:val="697C2783"/>
    <w:rsid w:val="6A24046B"/>
    <w:rsid w:val="6BEE0F72"/>
    <w:rsid w:val="6C0522FA"/>
    <w:rsid w:val="6CF7283B"/>
    <w:rsid w:val="6DC06017"/>
    <w:rsid w:val="6F09453C"/>
    <w:rsid w:val="6F40631D"/>
    <w:rsid w:val="70BF1417"/>
    <w:rsid w:val="72634067"/>
    <w:rsid w:val="731E2BC7"/>
    <w:rsid w:val="739509AF"/>
    <w:rsid w:val="741037BE"/>
    <w:rsid w:val="74AC17DB"/>
    <w:rsid w:val="74C83AAD"/>
    <w:rsid w:val="77724D2A"/>
    <w:rsid w:val="78611430"/>
    <w:rsid w:val="79F541C1"/>
    <w:rsid w:val="7A3F4800"/>
    <w:rsid w:val="7BDD144D"/>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keepNext/>
      <w:keepLines/>
      <w:ind w:firstLine="0" w:firstLineChars="0"/>
      <w:jc w:val="left"/>
      <w:outlineLvl w:val="0"/>
    </w:pPr>
    <w:rPr>
      <w:b/>
      <w:bCs/>
      <w:kern w:val="44"/>
      <w:sz w:val="30"/>
      <w:szCs w:val="44"/>
    </w:rPr>
  </w:style>
  <w:style w:type="paragraph" w:styleId="8">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ind w:firstLine="420" w:firstLineChars="100"/>
    </w:pPr>
    <w:rPr>
      <w:rFonts w:ascii="Times New Roman" w:eastAsia="宋体"/>
      <w:szCs w:val="20"/>
    </w:rPr>
  </w:style>
  <w:style w:type="paragraph" w:styleId="5">
    <w:name w:val="Body Text"/>
    <w:basedOn w:val="1"/>
    <w:next w:val="6"/>
    <w:unhideWhenUsed/>
    <w:uiPriority w:val="0"/>
    <w:pPr>
      <w:spacing w:after="120"/>
    </w:pPr>
    <w:rPr>
      <w:kern w:val="0"/>
      <w:sz w:val="20"/>
    </w:rPr>
  </w:style>
  <w:style w:type="paragraph" w:styleId="6">
    <w:name w:val="List Bullet 5"/>
    <w:basedOn w:val="1"/>
    <w:semiHidden/>
    <w:unhideWhenUsed/>
    <w:uiPriority w:val="99"/>
    <w:pPr>
      <w:numPr>
        <w:ilvl w:val="0"/>
        <w:numId w:val="1"/>
      </w:numPr>
    </w:pPr>
  </w:style>
  <w:style w:type="paragraph" w:styleId="9">
    <w:name w:val="annotation text"/>
    <w:basedOn w:val="1"/>
    <w:link w:val="22"/>
    <w:semiHidden/>
    <w:unhideWhenUsed/>
    <w:qFormat/>
    <w:uiPriority w:val="99"/>
    <w:pPr>
      <w:jc w:val="left"/>
    </w:pPr>
  </w:style>
  <w:style w:type="paragraph" w:styleId="10">
    <w:name w:val="Balloon Text"/>
    <w:basedOn w:val="1"/>
    <w:link w:val="24"/>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9"/>
    <w:next w:val="9"/>
    <w:link w:val="23"/>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9"/>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5"/>
    <w:link w:val="10"/>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8"/>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2</TotalTime>
  <ScaleCrop>false</ScaleCrop>
  <LinksUpToDate>false</LinksUpToDate>
  <CharactersWithSpaces>1317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2023-06-06T01:24:06Z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AA43A60CEDF4406DB74EB5DCF712EDB5_12</vt:lpwstr>
  </property>
</Properties>
</file>