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广东浪庭电器科技有限公司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广东浪庭电器科技有限公司音响制造基地建设项目一期工程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清远市清城区石角镇广州（清远）产业转移工业园区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 xml:space="preserve">改建□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黎总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该项目主要建设内容为：</w:t>
            </w:r>
            <w:r>
              <w:rPr>
                <w:rFonts w:hint="eastAsia" w:ascii="仿宋" w:hAnsi="仿宋" w:eastAsia="仿宋" w:cs="Times New Roman"/>
                <w:szCs w:val="21"/>
              </w:rPr>
              <w:t>利用</w:t>
            </w:r>
            <w:r>
              <w:rPr>
                <w:rFonts w:hint="eastAsia" w:ascii="仿宋" w:hAnsi="仿宋" w:eastAsia="仿宋" w:cs="Times New Roman"/>
                <w:szCs w:val="21"/>
                <w:lang w:eastAsia="zh-CN"/>
              </w:rPr>
              <w:t>厂房1#</w:t>
            </w:r>
            <w:r>
              <w:rPr>
                <w:rFonts w:hint="eastAsia" w:ascii="仿宋" w:hAnsi="仿宋" w:eastAsia="仿宋" w:cs="Times New Roman"/>
                <w:szCs w:val="21"/>
              </w:rPr>
              <w:t>的1、2</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4</w:t>
            </w:r>
            <w:r>
              <w:rPr>
                <w:rFonts w:hint="eastAsia" w:ascii="仿宋" w:hAnsi="仿宋" w:eastAsia="仿宋" w:cs="Times New Roman"/>
                <w:szCs w:val="21"/>
              </w:rPr>
              <w:t>层建设注塑生产线</w:t>
            </w:r>
            <w:r>
              <w:rPr>
                <w:rFonts w:hint="eastAsia" w:ascii="仿宋" w:hAnsi="仿宋" w:eastAsia="仿宋" w:cs="Times New Roman"/>
                <w:szCs w:val="21"/>
                <w:lang w:eastAsia="zh-CN"/>
              </w:rPr>
              <w:t>、</w:t>
            </w:r>
            <w:r>
              <w:rPr>
                <w:rFonts w:hint="eastAsia" w:ascii="仿宋" w:hAnsi="仿宋" w:eastAsia="仿宋" w:cs="Times New Roman"/>
                <w:szCs w:val="21"/>
              </w:rPr>
              <w:t>喷漆生产线</w:t>
            </w:r>
            <w:r>
              <w:rPr>
                <w:rFonts w:hint="eastAsia" w:ascii="仿宋" w:hAnsi="仿宋" w:eastAsia="仿宋" w:cs="Times New Roman"/>
                <w:szCs w:val="21"/>
                <w:lang w:val="en-US" w:eastAsia="zh-CN"/>
              </w:rPr>
              <w:t>及仓库</w:t>
            </w:r>
            <w:r>
              <w:rPr>
                <w:rFonts w:hint="eastAsia" w:ascii="仿宋" w:hAnsi="仿宋" w:eastAsia="仿宋" w:cs="Times New Roman"/>
                <w:szCs w:val="21"/>
              </w:rPr>
              <w:t>，配套</w:t>
            </w:r>
            <w:r>
              <w:rPr>
                <w:rFonts w:hint="eastAsia" w:ascii="仿宋" w:hAnsi="仿宋" w:eastAsia="仿宋" w:cs="Times New Roman"/>
                <w:szCs w:val="21"/>
                <w:lang w:val="en-US" w:eastAsia="zh-CN"/>
              </w:rPr>
              <w:t>设置5#厂房（办公）、6#厂房（食堂、宿舍）</w:t>
            </w:r>
            <w:r>
              <w:rPr>
                <w:rFonts w:hint="eastAsia" w:ascii="仿宋" w:hAnsi="仿宋" w:eastAsia="仿宋" w:cs="Times New Roman"/>
                <w:szCs w:val="21"/>
                <w:lang w:eastAsia="zh-CN"/>
              </w:rPr>
              <w:t>，</w:t>
            </w:r>
            <w:r>
              <w:rPr>
                <w:rFonts w:hint="eastAsia" w:ascii="仿宋" w:hAnsi="仿宋" w:eastAsia="仿宋" w:cs="Times New Roman"/>
                <w:szCs w:val="21"/>
              </w:rPr>
              <w:t>一期工程占地面积</w:t>
            </w:r>
            <w:r>
              <w:rPr>
                <w:rFonts w:hint="eastAsia" w:ascii="仿宋" w:hAnsi="仿宋" w:eastAsia="仿宋" w:cs="Times New Roman"/>
                <w:szCs w:val="21"/>
                <w:lang w:val="en-US" w:eastAsia="zh-CN"/>
              </w:rPr>
              <w:t>约</w:t>
            </w:r>
            <w:r>
              <w:rPr>
                <w:rFonts w:hint="eastAsia" w:ascii="仿宋" w:hAnsi="仿宋" w:eastAsia="仿宋" w:cs="Times New Roman"/>
                <w:szCs w:val="21"/>
              </w:rPr>
              <w:t>3718.75m</w:t>
            </w:r>
            <w:r>
              <w:rPr>
                <w:rFonts w:hint="eastAsia" w:ascii="仿宋" w:hAnsi="仿宋" w:eastAsia="仿宋" w:cs="Times New Roman"/>
                <w:szCs w:val="21"/>
                <w:vertAlign w:val="superscript"/>
              </w:rPr>
              <w:t>2</w:t>
            </w:r>
            <w:r>
              <w:rPr>
                <w:rFonts w:hint="eastAsia" w:ascii="仿宋" w:hAnsi="仿宋" w:eastAsia="仿宋" w:cs="Times New Roman"/>
                <w:szCs w:val="21"/>
              </w:rPr>
              <w:t>，主要从事音响塑料壳的生产加工，年产量为40万套。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饶望冬、赵文朋</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2021.11.26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黎总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罗志贤、邱汉聪、杨晓典、丁伦</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2021.12.01～03</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黎总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该公司存在的职业病危害因素包括：化学有害因素（甲苯、二甲苯、乙苯、丙酮、丁酮、乙酸甲酯、乙酸乙酯、乙酸丁酯、甲醇、丁醇、聚丙烯粉尘、其他粉尘（ABS）），物理因素（噪声、工频电磁场、高温）。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该项目注塑车间组装工的噪声检测结果超过了</w:t>
            </w:r>
            <w:r>
              <w:rPr>
                <w:rFonts w:hint="eastAsia" w:ascii="仿宋" w:hAnsi="仿宋" w:eastAsia="仿宋" w:cs="Times New Roman"/>
                <w:szCs w:val="21"/>
              </w:rPr>
              <w:t>接触</w:t>
            </w:r>
            <w:r>
              <w:rPr>
                <w:rFonts w:hint="eastAsia" w:ascii="仿宋" w:hAnsi="仿宋" w:eastAsia="仿宋" w:cs="Times New Roman"/>
                <w:szCs w:val="21"/>
                <w:lang w:val="en-US" w:eastAsia="zh-CN"/>
              </w:rPr>
              <w:t>限值，其他</w:t>
            </w:r>
            <w:r>
              <w:rPr>
                <w:rFonts w:hint="eastAsia" w:ascii="仿宋" w:hAnsi="仿宋" w:eastAsia="仿宋" w:cs="Times New Roman"/>
                <w:szCs w:val="21"/>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职业卫生管理人员、车间主管在日常管理工作中加强监督，加强员工对于防护设施、个人防护用品的使用意识，保证作业人员在作业时能够正确使用防护设施和各人防护用品，减少作业过程中产生的职业病危害因素对作业人员的影响；2）建议该公司为作业人员选配低噪声的打螺丝设备，减小噪声的产生；3）建议该公司按照所制定的职业卫生应急救援预案进行相应的演练，并保存演练记录；4）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5）建议该公司主要负责人、职业卫生管理人员尽快参加相应的职业卫生培训，并取得培训证书；6）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各岗位具体检查项目参照本报告内容和《职业健康监护技术规范》（GBZ 188-2014）</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rPr>
            </w:pPr>
            <w:r>
              <w:rPr>
                <w:rFonts w:hint="eastAsia" w:ascii="仿宋" w:hAnsi="仿宋" w:eastAsia="仿宋" w:cs="Times New Roman"/>
                <w:szCs w:val="21"/>
              </w:rPr>
              <w:t>技</w:t>
            </w:r>
            <w:r>
              <w:rPr>
                <w:rFonts w:hint="eastAsia" w:ascii="仿宋" w:hAnsi="仿宋" w:eastAsia="仿宋" w:cs="Times New Roman"/>
                <w:szCs w:val="21"/>
              </w:rPr>
              <w:t>术审查专家组评审意见：</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补充完善喷涂车间通风设施分析评价</w:t>
            </w:r>
            <w:r>
              <w:rPr>
                <w:rFonts w:hint="eastAsia" w:ascii="仿宋" w:hAnsi="仿宋" w:eastAsia="仿宋" w:cs="Times New Roman"/>
                <w:szCs w:val="21"/>
              </w:rPr>
              <w:t>；</w:t>
            </w:r>
            <w:r>
              <w:rPr>
                <w:rFonts w:hint="eastAsia" w:ascii="仿宋" w:hAnsi="仿宋" w:eastAsia="仿宋" w:cs="Times New Roman"/>
                <w:szCs w:val="21"/>
                <w:lang w:val="en-US" w:eastAsia="zh-CN"/>
              </w:rPr>
              <w:t>2）补充完善称漆、破碎车间职业病防护设施调查与分析评价；3</w:t>
            </w:r>
            <w:bookmarkStart w:id="0" w:name="_GoBack"/>
            <w:bookmarkEnd w:id="0"/>
            <w:r>
              <w:rPr>
                <w:rFonts w:hint="eastAsia" w:ascii="仿宋" w:hAnsi="仿宋" w:eastAsia="仿宋" w:cs="Times New Roman"/>
                <w:szCs w:val="21"/>
              </w:rPr>
              <w:t>）</w:t>
            </w:r>
            <w:r>
              <w:rPr>
                <w:rFonts w:hint="eastAsia" w:ascii="仿宋" w:hAnsi="仿宋" w:eastAsia="仿宋" w:cs="Times New Roman"/>
                <w:szCs w:val="21"/>
                <w:lang w:val="en-US" w:eastAsia="zh-CN"/>
              </w:rPr>
              <w:t>专家提出的其他意见</w:t>
            </w:r>
            <w:r>
              <w:rPr>
                <w:rFonts w:hint="eastAsia" w:ascii="仿宋" w:hAnsi="仿宋" w:eastAsia="仿宋" w:cs="Times New Roman"/>
                <w:szCs w:val="21"/>
              </w:rPr>
              <w:t>。</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C25691C"/>
    <w:rsid w:val="0D3170A6"/>
    <w:rsid w:val="0D9F589A"/>
    <w:rsid w:val="10ED3781"/>
    <w:rsid w:val="111A69C5"/>
    <w:rsid w:val="131509B6"/>
    <w:rsid w:val="14330FA7"/>
    <w:rsid w:val="149A1346"/>
    <w:rsid w:val="1B0353F5"/>
    <w:rsid w:val="1CE60291"/>
    <w:rsid w:val="1D894E19"/>
    <w:rsid w:val="1FE67BF3"/>
    <w:rsid w:val="22364421"/>
    <w:rsid w:val="236721C2"/>
    <w:rsid w:val="26AA663B"/>
    <w:rsid w:val="291476A5"/>
    <w:rsid w:val="2CE83322"/>
    <w:rsid w:val="2EC102CF"/>
    <w:rsid w:val="35511A47"/>
    <w:rsid w:val="36056CF3"/>
    <w:rsid w:val="39C11183"/>
    <w:rsid w:val="3CCD6FA5"/>
    <w:rsid w:val="3D5207AE"/>
    <w:rsid w:val="3F87786E"/>
    <w:rsid w:val="42826AAB"/>
    <w:rsid w:val="42E52372"/>
    <w:rsid w:val="464168ED"/>
    <w:rsid w:val="479559FD"/>
    <w:rsid w:val="48D54C41"/>
    <w:rsid w:val="4D9B4759"/>
    <w:rsid w:val="4EBA7C49"/>
    <w:rsid w:val="53C11EE3"/>
    <w:rsid w:val="564F4789"/>
    <w:rsid w:val="58B547C1"/>
    <w:rsid w:val="598712B7"/>
    <w:rsid w:val="60770686"/>
    <w:rsid w:val="62E66FE9"/>
    <w:rsid w:val="64CE2C89"/>
    <w:rsid w:val="654A6052"/>
    <w:rsid w:val="674F5001"/>
    <w:rsid w:val="6B4F6778"/>
    <w:rsid w:val="6BEE0F72"/>
    <w:rsid w:val="70BF1417"/>
    <w:rsid w:val="7D9B5235"/>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qFormat/>
    <w:uiPriority w:val="0"/>
    <w:pPr>
      <w:spacing w:line="460" w:lineRule="exact"/>
    </w:pPr>
    <w:rPr>
      <w:color w:val="000000"/>
      <w:spacing w:val="8"/>
      <w:sz w:val="28"/>
      <w:szCs w:val="24"/>
    </w:rPr>
  </w:style>
  <w:style w:type="paragraph" w:styleId="5">
    <w:name w:val="Body Text Indent"/>
    <w:basedOn w:val="1"/>
    <w:semiHidden/>
    <w:unhideWhenUsed/>
    <w:qFormat/>
    <w:uiPriority w:val="99"/>
    <w:pPr>
      <w:spacing w:after="120" w:afterLines="0" w:afterAutospacing="0"/>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paragraph" w:styleId="10">
    <w:name w:val="Body Text First Indent"/>
    <w:basedOn w:val="4"/>
    <w:unhideWhenUsed/>
    <w:qFormat/>
    <w:uiPriority w:val="99"/>
    <w:pPr>
      <w:ind w:firstLine="420" w:firstLineChars="100"/>
    </w:pPr>
    <w:rPr>
      <w:spacing w:val="0"/>
      <w:kern w:val="0"/>
      <w:lang w:val="en-US" w:eastAsia="zh-CN"/>
    </w:rPr>
  </w:style>
  <w:style w:type="paragraph" w:styleId="11">
    <w:name w:val="Body Text First Indent 2"/>
    <w:basedOn w:val="5"/>
    <w:next w:val="10"/>
    <w:semiHidden/>
    <w:unhideWhenUsed/>
    <w:qFormat/>
    <w:uiPriority w:val="99"/>
    <w:pPr>
      <w:ind w:firstLine="420" w:firstLineChars="200"/>
    </w:p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3"/>
    <w:link w:val="6"/>
    <w:semiHidden/>
    <w:qFormat/>
    <w:uiPriority w:val="99"/>
    <w:rPr>
      <w:sz w:val="18"/>
      <w:szCs w:val="18"/>
    </w:rPr>
  </w:style>
  <w:style w:type="character" w:customStyle="1" w:styleId="23">
    <w:name w:val="正文 Char"/>
    <w:basedOn w:val="13"/>
    <w:link w:val="24"/>
    <w:qFormat/>
    <w:uiPriority w:val="0"/>
    <w:rPr>
      <w:rFonts w:cs="Times New Roman"/>
    </w:rPr>
  </w:style>
  <w:style w:type="paragraph" w:customStyle="1" w:styleId="24">
    <w:name w:val="正文1"/>
    <w:basedOn w:val="1"/>
    <w:link w:val="23"/>
    <w:qFormat/>
    <w:uiPriority w:val="0"/>
    <w:pPr>
      <w:ind w:firstLine="56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2023-05-26T02:37:45Z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