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汇聚科技（惠州）有限公司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惠州仲恺高新区陈江街道下塘仔路38号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陈先生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该公司汇聚厂区占地面积为41088.6m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，创享厂区租赁的为创享的C栋厂房，其占地面积为17098.04m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，现阶段主要是进行通讯电缆组件、医疗电线组件、光纤组件的生产。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、刘付雪梅</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2022.12.26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陈先生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刘永涛、王海坤、王一波</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.3.6~8</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陈先生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该公司在正常情况下存在的职业病危害因素包括：正己烷、正庚烷、环己烷、戊烷、乙酸乙酯、异丙醇、二氧化锡、铜及其化合物、铁及其化合物粉尘、砂轮磨尘、噪声、激光、高频电磁场、工频电磁场。</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6U高速车间 6T生产线剥皮工位噪声检测结果超过了接触限值，其他各岗位生产性毒物、粉尘、噪声、激光、高频电磁场等的检测结果均低于接触限值。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1）建议该公司继续加强各种溶剂原料的采购管理，采购不含正己烷等的低毒（或无毒）原料</w:t>
            </w:r>
            <w:r>
              <w:rPr>
                <w:rFonts w:hint="eastAsia" w:ascii="仿宋" w:hAnsi="仿宋" w:eastAsia="仿宋"/>
                <w:lang w:val="en-US" w:eastAsia="zh-CN"/>
              </w:rPr>
              <w:t>；</w:t>
            </w:r>
            <w:r>
              <w:rPr>
                <w:rFonts w:hint="default" w:ascii="仿宋" w:hAnsi="仿宋" w:eastAsia="仿宋"/>
                <w:lang w:val="en-US" w:eastAsia="zh-CN"/>
              </w:rPr>
              <w:t>2）建议该公司在汇聚厂区清洁等岗位处设置侧吸式局部抽排风罩，用于对作业过程中所产生的生产性毒物进行处理</w:t>
            </w:r>
            <w:r>
              <w:rPr>
                <w:rFonts w:hint="eastAsia" w:ascii="仿宋" w:hAnsi="仿宋" w:eastAsia="仿宋"/>
                <w:lang w:val="en-US" w:eastAsia="zh-CN"/>
              </w:rPr>
              <w:t>；</w:t>
            </w:r>
            <w:r>
              <w:rPr>
                <w:rFonts w:hint="default" w:ascii="仿宋" w:hAnsi="仿宋" w:eastAsia="仿宋"/>
                <w:lang w:val="en-US" w:eastAsia="zh-CN"/>
              </w:rPr>
              <w:t>3）建议该公司现场管理人员、职业卫生管理人员在日常管理工作中，加强对员工职业病防护用品佩戴情况的监督管理，并在工作结束后对员工的安全教育中增加对工人进行职业卫生管理教育，加强其个人防护意识</w:t>
            </w:r>
            <w:r>
              <w:rPr>
                <w:rFonts w:hint="eastAsia" w:ascii="仿宋" w:hAnsi="仿宋" w:eastAsia="仿宋"/>
                <w:lang w:val="en-US" w:eastAsia="zh-CN"/>
              </w:rPr>
              <w:t>；</w:t>
            </w:r>
            <w:r>
              <w:rPr>
                <w:rFonts w:hint="default" w:ascii="仿宋" w:hAnsi="仿宋" w:eastAsia="仿宋"/>
                <w:lang w:val="en-US" w:eastAsia="zh-CN"/>
              </w:rPr>
              <w:t>4）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妥善保管职业健康检查报告，完善职业卫生管理档案。各岗位具体检查项目参照本报告内容和《职业健康监护技术规范》（GBZ 188-2014）</w:t>
            </w:r>
            <w:r>
              <w:rPr>
                <w:rFonts w:hint="eastAsia" w:ascii="仿宋" w:hAnsi="仿宋" w:eastAsia="仿宋"/>
                <w:lang w:val="en-US" w:eastAsia="zh-CN"/>
              </w:rPr>
              <w:t>；</w:t>
            </w:r>
            <w:r>
              <w:rPr>
                <w:rFonts w:hint="default" w:ascii="仿宋" w:hAnsi="仿宋" w:eastAsia="仿宋"/>
                <w:lang w:val="en-US" w:eastAsia="zh-CN"/>
              </w:rPr>
              <w:t>5）建议该公司在化学品仓库设置通风设施；在各急救药箱中配备防中暑药品；在各厂区配备担架</w:t>
            </w:r>
            <w:r>
              <w:rPr>
                <w:rFonts w:hint="eastAsia" w:ascii="仿宋" w:hAnsi="仿宋" w:eastAsia="仿宋"/>
                <w:lang w:val="en-US" w:eastAsia="zh-CN"/>
              </w:rPr>
              <w:t>；</w:t>
            </w:r>
            <w:r>
              <w:rPr>
                <w:rFonts w:hint="default" w:ascii="仿宋" w:hAnsi="仿宋" w:eastAsia="仿宋"/>
                <w:lang w:val="en-US" w:eastAsia="zh-CN"/>
              </w:rPr>
              <w:t>6）建议该公司按照《国卫办关于进一步加强用人单位职业健康培训工作的通知》（国卫办职健函〔2022〕441号）的要求，对接触职业病危害因素的作业人员进行培训</w:t>
            </w:r>
            <w:r>
              <w:rPr>
                <w:rFonts w:hint="eastAsia" w:ascii="仿宋" w:hAnsi="仿宋" w:eastAsia="仿宋"/>
                <w:lang w:val="en-US" w:eastAsia="zh-CN"/>
              </w:rPr>
              <w:t>；</w:t>
            </w:r>
            <w:r>
              <w:rPr>
                <w:rFonts w:hint="default" w:ascii="仿宋" w:hAnsi="仿宋" w:eastAsia="仿宋"/>
                <w:lang w:val="en-US" w:eastAsia="zh-CN"/>
              </w:rPr>
              <w:t>7）建议该公司尽快完成2022年度、2023年度的职业病危害项目的申报工作</w:t>
            </w:r>
            <w:r>
              <w:rPr>
                <w:rFonts w:hint="eastAsia" w:ascii="仿宋" w:hAnsi="仿宋" w:eastAsia="仿宋"/>
                <w:lang w:val="en-US" w:eastAsia="zh-CN"/>
              </w:rPr>
              <w:t>；</w:t>
            </w:r>
            <w:r>
              <w:rPr>
                <w:rFonts w:hint="default" w:ascii="仿宋" w:hAnsi="仿宋" w:eastAsia="仿宋"/>
                <w:lang w:val="en-US" w:eastAsia="zh-CN"/>
              </w:rPr>
              <w:t>8）建议该公司在打端子、注塑岗位处设置“正己烷告知卡”“必须佩戴活性炭口罩</w:t>
            </w:r>
            <w:bookmarkStart w:id="0" w:name="_GoBack"/>
            <w:bookmarkEnd w:id="0"/>
            <w:r>
              <w:rPr>
                <w:rFonts w:hint="default" w:ascii="仿宋" w:hAnsi="仿宋" w:eastAsia="仿宋"/>
                <w:lang w:val="en-US" w:eastAsia="zh-CN"/>
              </w:rPr>
              <w:t>”</w:t>
            </w:r>
            <w:r>
              <w:rPr>
                <w:rFonts w:hint="eastAsia" w:ascii="仿宋" w:hAnsi="仿宋" w:eastAsia="仿宋"/>
                <w:lang w:val="en-US" w:eastAsia="zh-CN"/>
              </w:rPr>
              <w:t>；</w:t>
            </w:r>
            <w:r>
              <w:rPr>
                <w:rFonts w:hint="default" w:ascii="仿宋" w:hAnsi="仿宋" w:eastAsia="仿宋"/>
                <w:lang w:val="en-US" w:eastAsia="zh-CN"/>
              </w:rPr>
              <w:t>9）建议该公司继续完善上一年度职业病危害控制效果评价所提建议。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46F5658"/>
    <w:rsid w:val="04B472CB"/>
    <w:rsid w:val="05594203"/>
    <w:rsid w:val="05C84116"/>
    <w:rsid w:val="05E337FC"/>
    <w:rsid w:val="06971FBD"/>
    <w:rsid w:val="085F7AA2"/>
    <w:rsid w:val="08744698"/>
    <w:rsid w:val="09214C02"/>
    <w:rsid w:val="093820FC"/>
    <w:rsid w:val="096D2D05"/>
    <w:rsid w:val="0983368B"/>
    <w:rsid w:val="0A0D4238"/>
    <w:rsid w:val="0A3D36E8"/>
    <w:rsid w:val="0A98139A"/>
    <w:rsid w:val="0AF3628F"/>
    <w:rsid w:val="0B35399D"/>
    <w:rsid w:val="0B515FE9"/>
    <w:rsid w:val="0B7D2159"/>
    <w:rsid w:val="0C943AA2"/>
    <w:rsid w:val="0CBC40CB"/>
    <w:rsid w:val="0DB241E0"/>
    <w:rsid w:val="0DFE5677"/>
    <w:rsid w:val="0E055229"/>
    <w:rsid w:val="0F3533E3"/>
    <w:rsid w:val="0FA83A21"/>
    <w:rsid w:val="0FD04F1D"/>
    <w:rsid w:val="10046B9B"/>
    <w:rsid w:val="112C7A85"/>
    <w:rsid w:val="118E6431"/>
    <w:rsid w:val="11BA35F1"/>
    <w:rsid w:val="11D131E6"/>
    <w:rsid w:val="123C4CE7"/>
    <w:rsid w:val="12772793"/>
    <w:rsid w:val="128A091B"/>
    <w:rsid w:val="13050ECF"/>
    <w:rsid w:val="13B14F39"/>
    <w:rsid w:val="141D14AB"/>
    <w:rsid w:val="1586775E"/>
    <w:rsid w:val="16655581"/>
    <w:rsid w:val="17932E87"/>
    <w:rsid w:val="184E1992"/>
    <w:rsid w:val="1A5D06C3"/>
    <w:rsid w:val="1A615541"/>
    <w:rsid w:val="1A8816B5"/>
    <w:rsid w:val="1AC4293F"/>
    <w:rsid w:val="1AF56788"/>
    <w:rsid w:val="1B3F462B"/>
    <w:rsid w:val="1C81326A"/>
    <w:rsid w:val="1CA06A08"/>
    <w:rsid w:val="1D672598"/>
    <w:rsid w:val="1E5D4AE2"/>
    <w:rsid w:val="22B71C55"/>
    <w:rsid w:val="22C32FEA"/>
    <w:rsid w:val="22DF27E2"/>
    <w:rsid w:val="22E60FE0"/>
    <w:rsid w:val="22ED255B"/>
    <w:rsid w:val="234D2E21"/>
    <w:rsid w:val="24201B09"/>
    <w:rsid w:val="24832815"/>
    <w:rsid w:val="24BF02CB"/>
    <w:rsid w:val="24F444EE"/>
    <w:rsid w:val="256F54C5"/>
    <w:rsid w:val="257E5312"/>
    <w:rsid w:val="26284A18"/>
    <w:rsid w:val="279F712B"/>
    <w:rsid w:val="28740979"/>
    <w:rsid w:val="2A413DAE"/>
    <w:rsid w:val="2A460333"/>
    <w:rsid w:val="2A566F28"/>
    <w:rsid w:val="2AF72B6B"/>
    <w:rsid w:val="2B810195"/>
    <w:rsid w:val="2BBB13C9"/>
    <w:rsid w:val="2C2C73FB"/>
    <w:rsid w:val="2C3C39FF"/>
    <w:rsid w:val="2C6117C4"/>
    <w:rsid w:val="2D99053D"/>
    <w:rsid w:val="2DB674EC"/>
    <w:rsid w:val="2E9C5628"/>
    <w:rsid w:val="2FC91E74"/>
    <w:rsid w:val="2FCC56C2"/>
    <w:rsid w:val="30446B3E"/>
    <w:rsid w:val="306A10C8"/>
    <w:rsid w:val="30EF13AC"/>
    <w:rsid w:val="31ED0CE4"/>
    <w:rsid w:val="32020A91"/>
    <w:rsid w:val="32034EF7"/>
    <w:rsid w:val="329F305B"/>
    <w:rsid w:val="32A80965"/>
    <w:rsid w:val="32EA744A"/>
    <w:rsid w:val="337324E5"/>
    <w:rsid w:val="34B0573E"/>
    <w:rsid w:val="34C43209"/>
    <w:rsid w:val="34DD368C"/>
    <w:rsid w:val="36F55F5E"/>
    <w:rsid w:val="379A445F"/>
    <w:rsid w:val="38986280"/>
    <w:rsid w:val="38FC2442"/>
    <w:rsid w:val="392755EE"/>
    <w:rsid w:val="393C79FB"/>
    <w:rsid w:val="39863298"/>
    <w:rsid w:val="39CF0E62"/>
    <w:rsid w:val="39D13637"/>
    <w:rsid w:val="3A415082"/>
    <w:rsid w:val="3A69467A"/>
    <w:rsid w:val="3C344673"/>
    <w:rsid w:val="3CDC1242"/>
    <w:rsid w:val="3D5A6ED6"/>
    <w:rsid w:val="3DB334D8"/>
    <w:rsid w:val="3DDD3902"/>
    <w:rsid w:val="3E7013C9"/>
    <w:rsid w:val="3E8D6156"/>
    <w:rsid w:val="3EB43064"/>
    <w:rsid w:val="3F312ACB"/>
    <w:rsid w:val="3FAF61F9"/>
    <w:rsid w:val="3FC720B2"/>
    <w:rsid w:val="3FCD0C8D"/>
    <w:rsid w:val="40922C7C"/>
    <w:rsid w:val="40C764D4"/>
    <w:rsid w:val="41006A35"/>
    <w:rsid w:val="41013860"/>
    <w:rsid w:val="41EB02E9"/>
    <w:rsid w:val="42973632"/>
    <w:rsid w:val="43696829"/>
    <w:rsid w:val="444D05BE"/>
    <w:rsid w:val="444E3803"/>
    <w:rsid w:val="45B54C00"/>
    <w:rsid w:val="46DE4CD7"/>
    <w:rsid w:val="471C20EE"/>
    <w:rsid w:val="47FD3CCE"/>
    <w:rsid w:val="489919E1"/>
    <w:rsid w:val="48C44256"/>
    <w:rsid w:val="49062CF8"/>
    <w:rsid w:val="493B6A03"/>
    <w:rsid w:val="49B13B80"/>
    <w:rsid w:val="4AAC61A6"/>
    <w:rsid w:val="4B43101F"/>
    <w:rsid w:val="4B831A2D"/>
    <w:rsid w:val="4B8C5A1B"/>
    <w:rsid w:val="4B9A779E"/>
    <w:rsid w:val="4BAA4805"/>
    <w:rsid w:val="4CE63D05"/>
    <w:rsid w:val="4DB0066E"/>
    <w:rsid w:val="4DED16AB"/>
    <w:rsid w:val="4DF40F01"/>
    <w:rsid w:val="4E200D3B"/>
    <w:rsid w:val="4E347AA3"/>
    <w:rsid w:val="4E813ADD"/>
    <w:rsid w:val="4F261C33"/>
    <w:rsid w:val="4F8265E1"/>
    <w:rsid w:val="4FB855E9"/>
    <w:rsid w:val="4FF758B6"/>
    <w:rsid w:val="50D15247"/>
    <w:rsid w:val="512C2345"/>
    <w:rsid w:val="515A1D00"/>
    <w:rsid w:val="519C0207"/>
    <w:rsid w:val="51CE4DF0"/>
    <w:rsid w:val="52824423"/>
    <w:rsid w:val="53A60229"/>
    <w:rsid w:val="5429164F"/>
    <w:rsid w:val="55FA2FD9"/>
    <w:rsid w:val="58546E79"/>
    <w:rsid w:val="587649C4"/>
    <w:rsid w:val="58EB2640"/>
    <w:rsid w:val="591661C0"/>
    <w:rsid w:val="593340C0"/>
    <w:rsid w:val="593560BB"/>
    <w:rsid w:val="593E7CA2"/>
    <w:rsid w:val="59551042"/>
    <w:rsid w:val="599324EC"/>
    <w:rsid w:val="59B54DBC"/>
    <w:rsid w:val="59F310C3"/>
    <w:rsid w:val="5A7668FF"/>
    <w:rsid w:val="5AD91257"/>
    <w:rsid w:val="5B0B6673"/>
    <w:rsid w:val="5C4E31D9"/>
    <w:rsid w:val="5C9163EF"/>
    <w:rsid w:val="5D0358C3"/>
    <w:rsid w:val="5D655039"/>
    <w:rsid w:val="5DB73636"/>
    <w:rsid w:val="5E2E29DB"/>
    <w:rsid w:val="5FB33ED8"/>
    <w:rsid w:val="606326E4"/>
    <w:rsid w:val="60A35A27"/>
    <w:rsid w:val="60F4059A"/>
    <w:rsid w:val="619873BC"/>
    <w:rsid w:val="61ED2B7C"/>
    <w:rsid w:val="62202C06"/>
    <w:rsid w:val="62C73780"/>
    <w:rsid w:val="62D13DCC"/>
    <w:rsid w:val="62FD1B58"/>
    <w:rsid w:val="634D0270"/>
    <w:rsid w:val="63547A09"/>
    <w:rsid w:val="63D76110"/>
    <w:rsid w:val="63EF3ED8"/>
    <w:rsid w:val="644F0FB6"/>
    <w:rsid w:val="64E31BF6"/>
    <w:rsid w:val="6512485F"/>
    <w:rsid w:val="6524773E"/>
    <w:rsid w:val="65B00957"/>
    <w:rsid w:val="65C54843"/>
    <w:rsid w:val="65D57061"/>
    <w:rsid w:val="662612F7"/>
    <w:rsid w:val="66325962"/>
    <w:rsid w:val="668A68F6"/>
    <w:rsid w:val="67697C8C"/>
    <w:rsid w:val="68AB2361"/>
    <w:rsid w:val="68D643E7"/>
    <w:rsid w:val="68F52FD7"/>
    <w:rsid w:val="69530817"/>
    <w:rsid w:val="69B04386"/>
    <w:rsid w:val="69E77EE2"/>
    <w:rsid w:val="6A497BD0"/>
    <w:rsid w:val="6B38510A"/>
    <w:rsid w:val="6BEF1DD1"/>
    <w:rsid w:val="6E2470D7"/>
    <w:rsid w:val="6E524B44"/>
    <w:rsid w:val="6E9A3488"/>
    <w:rsid w:val="6F653F09"/>
    <w:rsid w:val="70147557"/>
    <w:rsid w:val="701D3EBA"/>
    <w:rsid w:val="702C2AF3"/>
    <w:rsid w:val="708625A6"/>
    <w:rsid w:val="70D50035"/>
    <w:rsid w:val="70E91ACF"/>
    <w:rsid w:val="710C10F0"/>
    <w:rsid w:val="713A7A58"/>
    <w:rsid w:val="7195798E"/>
    <w:rsid w:val="72177E12"/>
    <w:rsid w:val="721A7053"/>
    <w:rsid w:val="72F36989"/>
    <w:rsid w:val="73FC35FE"/>
    <w:rsid w:val="74DF0225"/>
    <w:rsid w:val="75046F0E"/>
    <w:rsid w:val="756C1E83"/>
    <w:rsid w:val="76D53613"/>
    <w:rsid w:val="76E0681B"/>
    <w:rsid w:val="77100BCB"/>
    <w:rsid w:val="77855BA7"/>
    <w:rsid w:val="7793772C"/>
    <w:rsid w:val="77EE2A2C"/>
    <w:rsid w:val="788E2A8E"/>
    <w:rsid w:val="78955B8C"/>
    <w:rsid w:val="78F56D1D"/>
    <w:rsid w:val="798C7E32"/>
    <w:rsid w:val="7B2B3FEA"/>
    <w:rsid w:val="7B3639AE"/>
    <w:rsid w:val="7BF56302"/>
    <w:rsid w:val="7D7600DA"/>
    <w:rsid w:val="7D9940D6"/>
    <w:rsid w:val="7DE82510"/>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1"/>
    <w:qFormat/>
    <w:uiPriority w:val="0"/>
    <w:pPr>
      <w:spacing w:line="460" w:lineRule="exact"/>
    </w:pPr>
    <w:rPr>
      <w:rFonts w:ascii="仿宋_GB2312"/>
      <w:color w:val="000000"/>
      <w:spacing w:val="8"/>
      <w:szCs w:val="24"/>
    </w:rPr>
  </w:style>
  <w:style w:type="paragraph" w:styleId="6">
    <w:name w:val="annotation text"/>
    <w:basedOn w:val="1"/>
    <w:link w:val="21"/>
    <w:semiHidden/>
    <w:unhideWhenUsed/>
    <w:qFormat/>
    <w:uiPriority w:val="99"/>
    <w:pPr>
      <w:jc w:val="left"/>
    </w:pPr>
  </w:style>
  <w:style w:type="paragraph" w:styleId="7">
    <w:name w:val="List Bullet 5"/>
    <w:basedOn w:val="1"/>
    <w:semiHidden/>
    <w:unhideWhenUsed/>
    <w:qFormat/>
    <w:uiPriority w:val="99"/>
    <w:pPr>
      <w:numPr>
        <w:ilvl w:val="0"/>
        <w:numId w:val="1"/>
      </w:numPr>
    </w:pPr>
  </w:style>
  <w:style w:type="paragraph" w:styleId="8">
    <w:name w:val="Balloon Text"/>
    <w:basedOn w:val="1"/>
    <w:link w:val="23"/>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2">
    <w:name w:val="annotation subject"/>
    <w:basedOn w:val="6"/>
    <w:next w:val="6"/>
    <w:link w:val="22"/>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6"/>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4"/>
    <w:link w:val="8"/>
    <w:semiHidden/>
    <w:qFormat/>
    <w:uiPriority w:val="99"/>
    <w:rPr>
      <w:sz w:val="18"/>
      <w:szCs w:val="18"/>
    </w:rPr>
  </w:style>
  <w:style w:type="paragraph" w:customStyle="1" w:styleId="24">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11"/>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1034</Words>
  <Characters>1097</Characters>
  <Lines>6</Lines>
  <Paragraphs>1</Paragraphs>
  <TotalTime>1</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2023-07-11T01:36:34Z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115098DA71D148B88D029956B58E938E</vt:lpwstr>
  </property>
</Properties>
</file>