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3"/>
        <w:tblW w:w="5220" w:type="pct"/>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1617"/>
        <w:gridCol w:w="2646"/>
        <w:gridCol w:w="1276"/>
        <w:gridCol w:w="1609"/>
        <w:gridCol w:w="849"/>
        <w:gridCol w:w="90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909" w:type="pct"/>
            <w:tcBorders>
              <w:top w:val="single" w:color="auto" w:sz="4" w:space="0"/>
              <w:bottom w:val="single" w:color="auto" w:sz="4" w:space="0"/>
              <w:right w:val="single" w:color="auto" w:sz="4" w:space="0"/>
            </w:tcBorders>
            <w:vAlign w:val="center"/>
          </w:tcPr>
          <w:p>
            <w:pPr>
              <w:spacing w:line="340" w:lineRule="exact"/>
              <w:jc w:val="center"/>
              <w:rPr>
                <w:rFonts w:ascii="仿宋" w:hAnsi="仿宋" w:eastAsia="仿宋" w:cs="Times New Roman"/>
                <w:szCs w:val="21"/>
              </w:rPr>
            </w:pPr>
            <w:r>
              <w:rPr>
                <w:rFonts w:hint="eastAsia" w:ascii="仿宋" w:hAnsi="仿宋" w:eastAsia="仿宋" w:cs="Times New Roman"/>
                <w:szCs w:val="21"/>
              </w:rPr>
              <w:t>用人单位</w:t>
            </w:r>
          </w:p>
        </w:tc>
        <w:tc>
          <w:tcPr>
            <w:tcW w:w="4090" w:type="pct"/>
            <w:gridSpan w:val="5"/>
            <w:tcBorders>
              <w:top w:val="single" w:color="auto" w:sz="4" w:space="0"/>
              <w:left w:val="single" w:color="auto" w:sz="4" w:space="0"/>
              <w:bottom w:val="single" w:color="auto" w:sz="4" w:space="0"/>
            </w:tcBorders>
            <w:vAlign w:val="center"/>
          </w:tcPr>
          <w:p>
            <w:pPr>
              <w:spacing w:line="340" w:lineRule="exact"/>
              <w:jc w:val="center"/>
              <w:rPr>
                <w:rFonts w:hint="eastAsia" w:ascii="仿宋" w:hAnsi="仿宋" w:eastAsia="仿宋" w:cs="Times New Roman"/>
                <w:szCs w:val="21"/>
                <w:lang w:eastAsia="zh-CN"/>
              </w:rPr>
            </w:pPr>
            <w:r>
              <w:rPr>
                <w:rFonts w:hint="eastAsia" w:ascii="仿宋" w:hAnsi="仿宋" w:eastAsia="仿宋" w:cs="Times New Roman"/>
                <w:szCs w:val="21"/>
                <w:lang w:eastAsia="zh-CN"/>
              </w:rPr>
              <w:t>广州宝洁有限公司分销中心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909" w:type="pct"/>
            <w:tcBorders>
              <w:top w:val="single" w:color="auto" w:sz="4" w:space="0"/>
              <w:bottom w:val="single" w:color="auto" w:sz="4" w:space="0"/>
              <w:right w:val="single" w:color="auto" w:sz="4" w:space="0"/>
            </w:tcBorders>
            <w:vAlign w:val="center"/>
          </w:tcPr>
          <w:p>
            <w:pPr>
              <w:spacing w:line="340" w:lineRule="exact"/>
              <w:jc w:val="center"/>
              <w:rPr>
                <w:rFonts w:ascii="仿宋" w:hAnsi="仿宋" w:eastAsia="仿宋" w:cs="Times New Roman"/>
                <w:szCs w:val="21"/>
              </w:rPr>
            </w:pPr>
            <w:r>
              <w:rPr>
                <w:rFonts w:hint="eastAsia" w:ascii="仿宋" w:hAnsi="仿宋" w:eastAsia="仿宋" w:cs="Times New Roman"/>
                <w:szCs w:val="21"/>
              </w:rPr>
              <w:t>单位</w:t>
            </w:r>
            <w:r>
              <w:rPr>
                <w:rFonts w:ascii="仿宋" w:hAnsi="仿宋" w:eastAsia="仿宋" w:cs="Times New Roman"/>
                <w:szCs w:val="21"/>
              </w:rPr>
              <w:t>地址</w:t>
            </w:r>
          </w:p>
        </w:tc>
        <w:tc>
          <w:tcPr>
            <w:tcW w:w="4090" w:type="pct"/>
            <w:gridSpan w:val="5"/>
            <w:tcBorders>
              <w:top w:val="single" w:color="auto" w:sz="4" w:space="0"/>
              <w:left w:val="single" w:color="auto" w:sz="4" w:space="0"/>
              <w:bottom w:val="single" w:color="auto" w:sz="4" w:space="0"/>
            </w:tcBorders>
            <w:vAlign w:val="center"/>
          </w:tcPr>
          <w:p>
            <w:pPr>
              <w:spacing w:line="340" w:lineRule="exact"/>
              <w:jc w:val="center"/>
              <w:rPr>
                <w:rFonts w:hint="eastAsia" w:ascii="仿宋" w:hAnsi="仿宋" w:eastAsia="仿宋" w:cs="Times New Roman"/>
                <w:szCs w:val="21"/>
                <w:lang w:val="en-US" w:eastAsia="zh-CN"/>
              </w:rPr>
            </w:pPr>
            <w:r>
              <w:rPr>
                <w:rFonts w:hint="eastAsia" w:ascii="Times New Roman" w:hAnsi="Times New Roman" w:eastAsia="仿宋_GB2312" w:cs="Times New Roman"/>
                <w:smallCaps w:val="0"/>
                <w:color w:val="auto"/>
                <w:highlight w:val="none"/>
                <w:lang w:val="en-US" w:eastAsia="zh-CN"/>
              </w:rPr>
              <w:t>广州市黄埔区滨河路一号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909" w:type="pct"/>
            <w:tcBorders>
              <w:top w:val="single" w:color="auto" w:sz="4" w:space="0"/>
              <w:bottom w:val="single" w:color="auto" w:sz="4" w:space="0"/>
              <w:right w:val="single" w:color="auto" w:sz="4" w:space="0"/>
            </w:tcBorders>
            <w:vAlign w:val="center"/>
          </w:tcPr>
          <w:p>
            <w:pPr>
              <w:spacing w:line="340" w:lineRule="exact"/>
              <w:jc w:val="center"/>
              <w:rPr>
                <w:rFonts w:ascii="仿宋" w:hAnsi="仿宋" w:eastAsia="仿宋" w:cs="Times New Roman"/>
                <w:szCs w:val="21"/>
              </w:rPr>
            </w:pPr>
            <w:r>
              <w:rPr>
                <w:rFonts w:hint="eastAsia" w:ascii="仿宋" w:hAnsi="仿宋" w:eastAsia="仿宋" w:cs="Times New Roman"/>
                <w:szCs w:val="21"/>
              </w:rPr>
              <w:t>单位联系人</w:t>
            </w:r>
          </w:p>
        </w:tc>
        <w:tc>
          <w:tcPr>
            <w:tcW w:w="4090" w:type="pct"/>
            <w:gridSpan w:val="5"/>
            <w:tcBorders>
              <w:top w:val="single" w:color="auto" w:sz="4" w:space="0"/>
              <w:left w:val="single" w:color="auto" w:sz="4" w:space="0"/>
              <w:bottom w:val="single" w:color="auto" w:sz="4" w:space="0"/>
            </w:tcBorders>
            <w:vAlign w:val="center"/>
          </w:tcPr>
          <w:p>
            <w:pPr>
              <w:spacing w:line="340" w:lineRule="exact"/>
              <w:jc w:val="center"/>
              <w:rPr>
                <w:rFonts w:hint="default" w:ascii="仿宋" w:hAnsi="仿宋" w:eastAsia="仿宋" w:cs="Times New Roman"/>
                <w:szCs w:val="21"/>
                <w:lang w:val="en-US" w:eastAsia="zh-CN"/>
              </w:rPr>
            </w:pPr>
            <w:r>
              <w:rPr>
                <w:rFonts w:hint="eastAsia" w:ascii="仿宋" w:hAnsi="仿宋" w:eastAsia="仿宋" w:cs="Times New Roman"/>
                <w:szCs w:val="21"/>
                <w:lang w:val="en-US" w:eastAsia="zh-CN"/>
              </w:rPr>
              <w:t>黄工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909" w:type="pct"/>
            <w:tcBorders>
              <w:top w:val="single" w:color="auto" w:sz="4" w:space="0"/>
              <w:right w:val="single" w:color="auto" w:sz="4" w:space="0"/>
            </w:tcBorders>
            <w:vAlign w:val="center"/>
          </w:tcPr>
          <w:p>
            <w:pPr>
              <w:spacing w:line="340" w:lineRule="exact"/>
              <w:jc w:val="center"/>
              <w:rPr>
                <w:rFonts w:ascii="仿宋" w:hAnsi="仿宋" w:eastAsia="仿宋" w:cs="Times New Roman"/>
                <w:szCs w:val="21"/>
              </w:rPr>
            </w:pPr>
            <w:r>
              <w:rPr>
                <w:rFonts w:hint="eastAsia" w:ascii="仿宋" w:hAnsi="仿宋" w:eastAsia="仿宋" w:cs="Times New Roman"/>
                <w:szCs w:val="21"/>
              </w:rPr>
              <w:t>公示信息类别</w:t>
            </w:r>
          </w:p>
        </w:tc>
        <w:tc>
          <w:tcPr>
            <w:tcW w:w="4090" w:type="pct"/>
            <w:gridSpan w:val="5"/>
            <w:tcBorders>
              <w:top w:val="single" w:color="auto" w:sz="4" w:space="0"/>
              <w:left w:val="single" w:color="auto" w:sz="4" w:space="0"/>
              <w:bottom w:val="single" w:color="auto" w:sz="4" w:space="0"/>
            </w:tcBorders>
            <w:vAlign w:val="center"/>
          </w:tcPr>
          <w:p>
            <w:pPr>
              <w:spacing w:line="340" w:lineRule="exact"/>
              <w:jc w:val="center"/>
              <w:rPr>
                <w:rFonts w:hint="eastAsia" w:ascii="仿宋" w:hAnsi="仿宋" w:eastAsia="仿宋" w:cs="Times New Roman"/>
                <w:szCs w:val="21"/>
                <w:lang w:val="en-US" w:eastAsia="zh-CN"/>
              </w:rPr>
            </w:pPr>
            <w:r>
              <w:rPr>
                <w:rFonts w:hint="eastAsia" w:ascii="仿宋" w:hAnsi="仿宋" w:eastAsia="仿宋" w:cs="Times New Roman"/>
                <w:szCs w:val="21"/>
                <w:lang w:val="en-US" w:eastAsia="zh-CN"/>
              </w:rPr>
              <w:t>职业病危害现状评价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73" w:hRule="atLeast"/>
          <w:jc w:val="center"/>
        </w:trPr>
        <w:tc>
          <w:tcPr>
            <w:tcW w:w="909" w:type="pct"/>
            <w:tcBorders>
              <w:top w:val="single" w:color="auto" w:sz="4" w:space="0"/>
              <w:right w:val="single" w:color="auto" w:sz="4" w:space="0"/>
            </w:tcBorders>
            <w:vAlign w:val="center"/>
          </w:tcPr>
          <w:p>
            <w:pPr>
              <w:spacing w:line="340" w:lineRule="exact"/>
              <w:jc w:val="center"/>
              <w:rPr>
                <w:rFonts w:hint="eastAsia" w:ascii="仿宋" w:hAnsi="仿宋" w:eastAsia="仿宋" w:cs="Times New Roman"/>
                <w:szCs w:val="21"/>
                <w:lang w:eastAsia="zh-CN"/>
              </w:rPr>
            </w:pPr>
            <w:r>
              <w:rPr>
                <w:rFonts w:hint="eastAsia" w:ascii="仿宋" w:hAnsi="仿宋" w:eastAsia="仿宋" w:cs="Times New Roman"/>
                <w:szCs w:val="21"/>
                <w:lang w:eastAsia="zh-CN"/>
              </w:rPr>
              <w:t>项目简介</w:t>
            </w:r>
          </w:p>
        </w:tc>
        <w:tc>
          <w:tcPr>
            <w:tcW w:w="4090" w:type="pct"/>
            <w:gridSpan w:val="5"/>
            <w:tcBorders>
              <w:top w:val="single" w:color="auto" w:sz="4" w:space="0"/>
              <w:left w:val="single" w:color="auto" w:sz="4" w:space="0"/>
              <w:bottom w:val="single" w:color="auto" w:sz="4" w:space="0"/>
            </w:tcBorders>
            <w:vAlign w:val="center"/>
          </w:tcPr>
          <w:p>
            <w:pPr>
              <w:spacing w:line="340" w:lineRule="exact"/>
              <w:ind w:firstLine="420" w:firstLineChars="200"/>
              <w:jc w:val="left"/>
              <w:rPr>
                <w:rFonts w:hint="eastAsia" w:ascii="仿宋" w:hAnsi="仿宋" w:eastAsia="仿宋" w:cs="Times New Roman"/>
                <w:szCs w:val="21"/>
                <w:lang w:val="en-US" w:eastAsia="zh-CN"/>
              </w:rPr>
            </w:pPr>
            <w:r>
              <w:rPr>
                <w:rFonts w:hint="eastAsia" w:ascii="仿宋" w:hAnsi="仿宋" w:eastAsia="仿宋" w:cs="Times New Roman"/>
                <w:szCs w:val="21"/>
                <w:lang w:val="en-US" w:eastAsia="zh-CN"/>
              </w:rPr>
              <w:t>广州宝洁有限公司厂址位于广州市黄埔区滨河路一号，总占地面积约143452平方米，主要进行日用品、化妆品的生产。广州宝洁有限公司分销中心主要是对宝洁公司所生产的产品进行储存、调运并根据订单情况进行分拣（贴标）、发货，分销中心占地面积约9840平方米，现阶段年发货量300万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28" w:hRule="atLeast"/>
          <w:jc w:val="center"/>
        </w:trPr>
        <w:tc>
          <w:tcPr>
            <w:tcW w:w="909" w:type="pct"/>
            <w:tcBorders>
              <w:top w:val="single" w:color="auto" w:sz="4" w:space="0"/>
              <w:right w:val="single" w:color="auto" w:sz="4" w:space="0"/>
            </w:tcBorders>
            <w:vAlign w:val="center"/>
          </w:tcPr>
          <w:p>
            <w:pPr>
              <w:spacing w:line="340" w:lineRule="exact"/>
              <w:jc w:val="center"/>
              <w:rPr>
                <w:rFonts w:hint="eastAsia" w:ascii="仿宋" w:hAnsi="仿宋" w:eastAsia="仿宋" w:cs="Times New Roman"/>
                <w:szCs w:val="21"/>
                <w:lang w:val="en-US" w:eastAsia="zh-CN"/>
              </w:rPr>
            </w:pPr>
            <w:r>
              <w:rPr>
                <w:rFonts w:hint="eastAsia" w:ascii="仿宋" w:hAnsi="仿宋" w:eastAsia="仿宋" w:cs="Times New Roman"/>
                <w:szCs w:val="21"/>
                <w:lang w:val="en-US" w:eastAsia="zh-CN"/>
              </w:rPr>
              <w:t>现场调查人员</w:t>
            </w:r>
          </w:p>
        </w:tc>
        <w:tc>
          <w:tcPr>
            <w:tcW w:w="1487" w:type="pct"/>
            <w:tcBorders>
              <w:top w:val="single" w:color="auto" w:sz="4" w:space="0"/>
              <w:left w:val="single" w:color="auto" w:sz="4" w:space="0"/>
              <w:bottom w:val="single" w:color="auto" w:sz="4" w:space="0"/>
            </w:tcBorders>
            <w:vAlign w:val="center"/>
          </w:tcPr>
          <w:p>
            <w:pPr>
              <w:spacing w:line="340" w:lineRule="exact"/>
              <w:jc w:val="center"/>
              <w:rPr>
                <w:rFonts w:hint="default" w:ascii="仿宋" w:hAnsi="仿宋" w:eastAsia="仿宋" w:cs="Times New Roman"/>
                <w:szCs w:val="21"/>
                <w:lang w:val="en-US" w:eastAsia="zh-CN"/>
              </w:rPr>
            </w:pPr>
            <w:r>
              <w:rPr>
                <w:rFonts w:hint="eastAsia" w:ascii="仿宋" w:hAnsi="仿宋" w:eastAsia="仿宋" w:cs="Times New Roman"/>
                <w:szCs w:val="21"/>
                <w:lang w:val="en-US" w:eastAsia="zh-CN"/>
              </w:rPr>
              <w:t>丁伦</w:t>
            </w:r>
            <w:r>
              <w:rPr>
                <w:rFonts w:hint="default" w:ascii="仿宋" w:hAnsi="仿宋" w:eastAsia="仿宋" w:cs="Times New Roman"/>
                <w:szCs w:val="21"/>
                <w:lang w:val="en-US" w:eastAsia="zh-CN"/>
              </w:rPr>
              <w:t>、</w:t>
            </w:r>
            <w:r>
              <w:rPr>
                <w:rFonts w:hint="eastAsia" w:ascii="仿宋" w:hAnsi="仿宋" w:eastAsia="仿宋" w:cs="Times New Roman"/>
                <w:szCs w:val="21"/>
                <w:lang w:val="en-US" w:eastAsia="zh-CN"/>
              </w:rPr>
              <w:t>刘付雪梅</w:t>
            </w:r>
          </w:p>
        </w:tc>
        <w:tc>
          <w:tcPr>
            <w:tcW w:w="717" w:type="pct"/>
            <w:tcBorders>
              <w:top w:val="single" w:color="auto" w:sz="4" w:space="0"/>
              <w:left w:val="single" w:color="auto" w:sz="4" w:space="0"/>
              <w:bottom w:val="single" w:color="auto" w:sz="4" w:space="0"/>
            </w:tcBorders>
            <w:vAlign w:val="center"/>
          </w:tcPr>
          <w:p>
            <w:pPr>
              <w:spacing w:line="340" w:lineRule="exact"/>
              <w:jc w:val="center"/>
              <w:rPr>
                <w:rFonts w:hint="eastAsia" w:ascii="仿宋" w:hAnsi="仿宋" w:eastAsia="仿宋" w:cs="Times New Roman"/>
                <w:szCs w:val="21"/>
                <w:lang w:val="en-US" w:eastAsia="zh-CN"/>
              </w:rPr>
            </w:pPr>
            <w:r>
              <w:rPr>
                <w:rFonts w:hint="eastAsia" w:ascii="仿宋" w:hAnsi="仿宋" w:eastAsia="仿宋" w:cs="Times New Roman"/>
                <w:szCs w:val="21"/>
                <w:lang w:val="en-US" w:eastAsia="zh-CN"/>
              </w:rPr>
              <w:t>调查时间</w:t>
            </w:r>
          </w:p>
        </w:tc>
        <w:tc>
          <w:tcPr>
            <w:tcW w:w="904" w:type="pct"/>
            <w:tcBorders>
              <w:top w:val="single" w:color="auto" w:sz="4" w:space="0"/>
              <w:left w:val="single" w:color="auto" w:sz="4" w:space="0"/>
              <w:bottom w:val="single" w:color="auto" w:sz="4" w:space="0"/>
            </w:tcBorders>
            <w:vAlign w:val="center"/>
          </w:tcPr>
          <w:p>
            <w:pPr>
              <w:spacing w:line="340" w:lineRule="exact"/>
              <w:jc w:val="center"/>
              <w:rPr>
                <w:rFonts w:hint="default" w:ascii="仿宋" w:hAnsi="仿宋" w:eastAsia="仿宋" w:cs="Times New Roman"/>
                <w:szCs w:val="21"/>
                <w:lang w:val="en-US" w:eastAsia="zh-CN"/>
              </w:rPr>
            </w:pPr>
            <w:r>
              <w:rPr>
                <w:rFonts w:hint="default" w:ascii="仿宋" w:hAnsi="仿宋" w:eastAsia="仿宋" w:cs="Times New Roman"/>
                <w:szCs w:val="21"/>
                <w:lang w:val="en-US" w:eastAsia="zh-CN"/>
              </w:rPr>
              <w:t>202</w:t>
            </w:r>
            <w:r>
              <w:rPr>
                <w:rFonts w:hint="eastAsia" w:ascii="仿宋" w:hAnsi="仿宋" w:eastAsia="仿宋" w:cs="Times New Roman"/>
                <w:szCs w:val="21"/>
                <w:lang w:val="en-US" w:eastAsia="zh-CN"/>
              </w:rPr>
              <w:t>3.3.30</w:t>
            </w:r>
          </w:p>
        </w:tc>
        <w:tc>
          <w:tcPr>
            <w:tcW w:w="477" w:type="pct"/>
            <w:tcBorders>
              <w:top w:val="single" w:color="auto" w:sz="4" w:space="0"/>
              <w:left w:val="single" w:color="auto" w:sz="4" w:space="0"/>
              <w:bottom w:val="single" w:color="auto" w:sz="4" w:space="0"/>
            </w:tcBorders>
            <w:vAlign w:val="center"/>
          </w:tcPr>
          <w:p>
            <w:pPr>
              <w:spacing w:line="340" w:lineRule="exact"/>
              <w:jc w:val="center"/>
              <w:rPr>
                <w:rFonts w:hint="eastAsia" w:ascii="仿宋" w:hAnsi="仿宋" w:eastAsia="仿宋" w:cs="Times New Roman"/>
                <w:szCs w:val="21"/>
                <w:lang w:val="en-US" w:eastAsia="zh-CN"/>
              </w:rPr>
            </w:pPr>
            <w:r>
              <w:rPr>
                <w:rFonts w:hint="eastAsia" w:ascii="仿宋" w:hAnsi="仿宋" w:eastAsia="仿宋" w:cs="Times New Roman"/>
                <w:szCs w:val="21"/>
                <w:lang w:val="en-US" w:eastAsia="zh-CN"/>
              </w:rPr>
              <w:t>陪同人</w:t>
            </w:r>
          </w:p>
        </w:tc>
        <w:tc>
          <w:tcPr>
            <w:tcW w:w="505" w:type="pct"/>
            <w:tcBorders>
              <w:top w:val="single" w:color="auto" w:sz="4" w:space="0"/>
              <w:left w:val="single" w:color="auto" w:sz="4" w:space="0"/>
              <w:bottom w:val="single" w:color="auto" w:sz="4" w:space="0"/>
            </w:tcBorders>
            <w:vAlign w:val="center"/>
          </w:tcPr>
          <w:p>
            <w:pPr>
              <w:spacing w:line="340" w:lineRule="exact"/>
              <w:jc w:val="center"/>
              <w:rPr>
                <w:rFonts w:hint="eastAsia" w:ascii="仿宋" w:hAnsi="仿宋" w:eastAsia="仿宋" w:cs="Times New Roman"/>
                <w:szCs w:val="21"/>
                <w:lang w:val="en-US" w:eastAsia="zh-CN"/>
              </w:rPr>
            </w:pPr>
            <w:r>
              <w:rPr>
                <w:rFonts w:hint="eastAsia" w:ascii="仿宋" w:hAnsi="仿宋" w:eastAsia="仿宋" w:cs="Times New Roman"/>
                <w:szCs w:val="21"/>
                <w:lang w:val="en-US" w:eastAsia="zh-CN"/>
              </w:rPr>
              <w:t>黄工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909" w:type="pct"/>
            <w:tcBorders>
              <w:top w:val="single" w:color="auto" w:sz="4" w:space="0"/>
              <w:right w:val="single" w:color="auto" w:sz="4" w:space="0"/>
            </w:tcBorders>
            <w:vAlign w:val="center"/>
          </w:tcPr>
          <w:p>
            <w:pPr>
              <w:spacing w:line="340" w:lineRule="exact"/>
              <w:jc w:val="center"/>
              <w:rPr>
                <w:rFonts w:hint="eastAsia" w:ascii="仿宋" w:hAnsi="仿宋" w:eastAsia="仿宋" w:cs="Times New Roman"/>
                <w:szCs w:val="21"/>
                <w:lang w:val="en-US" w:eastAsia="zh-CN"/>
              </w:rPr>
            </w:pPr>
            <w:r>
              <w:rPr>
                <w:rFonts w:hint="eastAsia" w:ascii="仿宋" w:hAnsi="仿宋" w:eastAsia="仿宋" w:cs="Times New Roman"/>
                <w:szCs w:val="21"/>
                <w:lang w:val="en-US" w:eastAsia="zh-CN"/>
              </w:rPr>
              <w:t>检测人员</w:t>
            </w:r>
          </w:p>
        </w:tc>
        <w:tc>
          <w:tcPr>
            <w:tcW w:w="1487" w:type="pct"/>
            <w:tcBorders>
              <w:top w:val="single" w:color="auto" w:sz="4" w:space="0"/>
              <w:left w:val="single" w:color="auto" w:sz="4" w:space="0"/>
              <w:bottom w:val="single" w:color="auto" w:sz="4" w:space="0"/>
            </w:tcBorders>
            <w:vAlign w:val="center"/>
          </w:tcPr>
          <w:p>
            <w:pPr>
              <w:spacing w:line="340" w:lineRule="exact"/>
              <w:jc w:val="center"/>
              <w:rPr>
                <w:rFonts w:hint="default" w:ascii="仿宋" w:hAnsi="仿宋" w:eastAsia="仿宋" w:cs="Times New Roman"/>
                <w:szCs w:val="21"/>
                <w:lang w:val="en-US" w:eastAsia="zh-CN"/>
              </w:rPr>
            </w:pPr>
            <w:r>
              <w:rPr>
                <w:rFonts w:hint="default" w:ascii="仿宋" w:hAnsi="仿宋" w:eastAsia="仿宋" w:cs="Times New Roman"/>
                <w:szCs w:val="21"/>
                <w:lang w:val="en-US" w:eastAsia="zh-CN"/>
              </w:rPr>
              <w:t>邱汉聪、文明</w:t>
            </w:r>
          </w:p>
        </w:tc>
        <w:tc>
          <w:tcPr>
            <w:tcW w:w="717" w:type="pct"/>
            <w:tcBorders>
              <w:top w:val="single" w:color="auto" w:sz="4" w:space="0"/>
              <w:left w:val="single" w:color="auto" w:sz="4" w:space="0"/>
              <w:bottom w:val="single" w:color="auto" w:sz="4" w:space="0"/>
            </w:tcBorders>
            <w:vAlign w:val="center"/>
          </w:tcPr>
          <w:p>
            <w:pPr>
              <w:spacing w:line="340" w:lineRule="exact"/>
              <w:jc w:val="center"/>
              <w:rPr>
                <w:rFonts w:hint="eastAsia" w:ascii="仿宋" w:hAnsi="仿宋" w:eastAsia="仿宋" w:cs="Times New Roman"/>
                <w:szCs w:val="21"/>
                <w:lang w:val="en-US" w:eastAsia="zh-CN"/>
              </w:rPr>
            </w:pPr>
            <w:r>
              <w:rPr>
                <w:rFonts w:hint="eastAsia" w:ascii="仿宋" w:hAnsi="仿宋" w:eastAsia="仿宋" w:cs="Times New Roman"/>
                <w:szCs w:val="21"/>
                <w:lang w:val="en-US" w:eastAsia="zh-CN"/>
              </w:rPr>
              <w:t>检测时间</w:t>
            </w:r>
          </w:p>
        </w:tc>
        <w:tc>
          <w:tcPr>
            <w:tcW w:w="904" w:type="pct"/>
            <w:tcBorders>
              <w:top w:val="single" w:color="auto" w:sz="4" w:space="0"/>
              <w:left w:val="single" w:color="auto" w:sz="4" w:space="0"/>
              <w:bottom w:val="single" w:color="auto" w:sz="4" w:space="0"/>
            </w:tcBorders>
            <w:vAlign w:val="center"/>
          </w:tcPr>
          <w:p>
            <w:pPr>
              <w:spacing w:line="340" w:lineRule="exact"/>
              <w:jc w:val="center"/>
              <w:rPr>
                <w:rFonts w:hint="default" w:ascii="仿宋" w:hAnsi="仿宋" w:eastAsia="仿宋" w:cs="Times New Roman"/>
                <w:szCs w:val="21"/>
                <w:lang w:val="en-US" w:eastAsia="zh-CN"/>
              </w:rPr>
            </w:pPr>
            <w:r>
              <w:rPr>
                <w:rFonts w:hint="default" w:ascii="仿宋" w:hAnsi="仿宋" w:eastAsia="仿宋" w:cs="Times New Roman"/>
                <w:szCs w:val="21"/>
                <w:lang w:val="en-US" w:eastAsia="zh-CN"/>
              </w:rPr>
              <w:t>2023</w:t>
            </w:r>
            <w:r>
              <w:rPr>
                <w:rFonts w:hint="eastAsia" w:ascii="仿宋" w:hAnsi="仿宋" w:eastAsia="仿宋" w:cs="Times New Roman"/>
                <w:szCs w:val="21"/>
                <w:lang w:val="en-US" w:eastAsia="zh-CN"/>
              </w:rPr>
              <w:t>.</w:t>
            </w:r>
            <w:r>
              <w:rPr>
                <w:rFonts w:hint="default" w:ascii="仿宋" w:hAnsi="仿宋" w:eastAsia="仿宋" w:cs="Times New Roman"/>
                <w:szCs w:val="21"/>
                <w:lang w:val="en-US" w:eastAsia="zh-CN"/>
              </w:rPr>
              <w:t>4</w:t>
            </w:r>
            <w:r>
              <w:rPr>
                <w:rFonts w:hint="eastAsia" w:ascii="仿宋" w:hAnsi="仿宋" w:eastAsia="仿宋" w:cs="Times New Roman"/>
                <w:szCs w:val="21"/>
                <w:lang w:val="en-US" w:eastAsia="zh-CN"/>
              </w:rPr>
              <w:t>.</w:t>
            </w:r>
            <w:r>
              <w:rPr>
                <w:rFonts w:hint="default" w:ascii="仿宋" w:hAnsi="仿宋" w:eastAsia="仿宋" w:cs="Times New Roman"/>
                <w:szCs w:val="21"/>
                <w:lang w:val="en-US" w:eastAsia="zh-CN"/>
              </w:rPr>
              <w:t>4、</w:t>
            </w:r>
            <w:r>
              <w:rPr>
                <w:rFonts w:hint="default" w:ascii="仿宋" w:hAnsi="仿宋" w:eastAsia="仿宋" w:cs="Times New Roman"/>
                <w:szCs w:val="21"/>
                <w:lang w:val="en-US" w:eastAsia="zh-CN"/>
              </w:rPr>
              <w:t>4</w:t>
            </w:r>
            <w:r>
              <w:rPr>
                <w:rFonts w:hint="eastAsia" w:ascii="仿宋" w:hAnsi="仿宋" w:eastAsia="仿宋" w:cs="Times New Roman"/>
                <w:szCs w:val="21"/>
                <w:lang w:val="en-US" w:eastAsia="zh-CN"/>
              </w:rPr>
              <w:t>.</w:t>
            </w:r>
            <w:r>
              <w:rPr>
                <w:rFonts w:hint="default" w:ascii="仿宋" w:hAnsi="仿宋" w:eastAsia="仿宋" w:cs="Times New Roman"/>
                <w:szCs w:val="21"/>
                <w:lang w:val="en-US" w:eastAsia="zh-CN"/>
              </w:rPr>
              <w:t>6、</w:t>
            </w:r>
            <w:r>
              <w:rPr>
                <w:rFonts w:hint="default" w:ascii="仿宋" w:hAnsi="仿宋" w:eastAsia="仿宋" w:cs="Times New Roman"/>
                <w:szCs w:val="21"/>
                <w:lang w:val="en-US" w:eastAsia="zh-CN"/>
              </w:rPr>
              <w:t>4</w:t>
            </w:r>
            <w:r>
              <w:rPr>
                <w:rFonts w:hint="eastAsia" w:ascii="仿宋" w:hAnsi="仿宋" w:eastAsia="仿宋" w:cs="Times New Roman"/>
                <w:szCs w:val="21"/>
                <w:lang w:val="en-US" w:eastAsia="zh-CN"/>
              </w:rPr>
              <w:t>.</w:t>
            </w:r>
            <w:r>
              <w:rPr>
                <w:rFonts w:hint="default" w:ascii="仿宋" w:hAnsi="仿宋" w:eastAsia="仿宋" w:cs="Times New Roman"/>
                <w:szCs w:val="21"/>
                <w:lang w:val="en-US" w:eastAsia="zh-CN"/>
              </w:rPr>
              <w:t>7</w:t>
            </w:r>
          </w:p>
        </w:tc>
        <w:tc>
          <w:tcPr>
            <w:tcW w:w="477" w:type="pct"/>
            <w:tcBorders>
              <w:top w:val="single" w:color="auto" w:sz="4" w:space="0"/>
              <w:left w:val="single" w:color="auto" w:sz="4" w:space="0"/>
              <w:bottom w:val="single" w:color="auto" w:sz="4" w:space="0"/>
            </w:tcBorders>
            <w:vAlign w:val="center"/>
          </w:tcPr>
          <w:p>
            <w:pPr>
              <w:spacing w:line="340" w:lineRule="exact"/>
              <w:jc w:val="center"/>
              <w:rPr>
                <w:rFonts w:hint="eastAsia" w:ascii="仿宋" w:hAnsi="仿宋" w:eastAsia="仿宋" w:cs="Times New Roman"/>
                <w:szCs w:val="21"/>
                <w:lang w:val="en-US" w:eastAsia="zh-CN"/>
              </w:rPr>
            </w:pPr>
            <w:r>
              <w:rPr>
                <w:rFonts w:hint="eastAsia" w:ascii="仿宋" w:hAnsi="仿宋" w:eastAsia="仿宋" w:cs="Times New Roman"/>
                <w:szCs w:val="21"/>
                <w:lang w:val="en-US" w:eastAsia="zh-CN"/>
              </w:rPr>
              <w:t>陪同人</w:t>
            </w:r>
          </w:p>
        </w:tc>
        <w:tc>
          <w:tcPr>
            <w:tcW w:w="505" w:type="pct"/>
            <w:tcBorders>
              <w:top w:val="single" w:color="auto" w:sz="4" w:space="0"/>
              <w:left w:val="single" w:color="auto" w:sz="4" w:space="0"/>
              <w:bottom w:val="single" w:color="auto" w:sz="4" w:space="0"/>
            </w:tcBorders>
            <w:vAlign w:val="center"/>
          </w:tcPr>
          <w:p>
            <w:pPr>
              <w:spacing w:line="340" w:lineRule="exact"/>
              <w:jc w:val="center"/>
              <w:rPr>
                <w:rFonts w:hint="eastAsia" w:ascii="仿宋" w:hAnsi="仿宋" w:eastAsia="仿宋" w:cs="Times New Roman"/>
                <w:szCs w:val="21"/>
                <w:lang w:val="en-US" w:eastAsia="zh-CN"/>
              </w:rPr>
            </w:pPr>
            <w:r>
              <w:rPr>
                <w:rFonts w:hint="eastAsia" w:ascii="仿宋" w:hAnsi="仿宋" w:eastAsia="仿宋" w:cs="Times New Roman"/>
                <w:szCs w:val="21"/>
                <w:lang w:val="en-US" w:eastAsia="zh-CN"/>
              </w:rPr>
              <w:t>潘小姐</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5000" w:type="pct"/>
            <w:gridSpan w:val="6"/>
            <w:tcBorders>
              <w:top w:val="single" w:color="auto" w:sz="4" w:space="0"/>
              <w:bottom w:val="single" w:color="auto" w:sz="4" w:space="0"/>
            </w:tcBorders>
          </w:tcPr>
          <w:p>
            <w:pPr>
              <w:spacing w:line="340" w:lineRule="exact"/>
              <w:ind w:firstLine="420" w:firstLineChars="200"/>
              <w:jc w:val="left"/>
              <w:rPr>
                <w:rFonts w:hint="eastAsia" w:ascii="仿宋" w:hAnsi="仿宋" w:eastAsia="仿宋" w:cs="Times New Roman"/>
                <w:szCs w:val="21"/>
                <w:lang w:val="en-US" w:eastAsia="zh-CN"/>
              </w:rPr>
            </w:pPr>
            <w:r>
              <w:rPr>
                <w:rFonts w:hint="eastAsia" w:ascii="仿宋" w:hAnsi="仿宋" w:eastAsia="仿宋" w:cs="Times New Roman"/>
                <w:szCs w:val="21"/>
                <w:lang w:val="en-US" w:eastAsia="zh-CN"/>
              </w:rPr>
              <w:t>根据本次评价检测结果以及现场调查情况综合判定：在正常作业条件下，营销中心各岗位最终实际不接触职业病危害因素。</w:t>
            </w:r>
          </w:p>
          <w:p>
            <w:pPr>
              <w:spacing w:line="340" w:lineRule="exact"/>
              <w:jc w:val="left"/>
              <w:rPr>
                <w:rFonts w:hint="eastAsia" w:ascii="仿宋" w:hAnsi="仿宋" w:eastAsia="仿宋" w:cs="Times New Roman"/>
                <w:szCs w:val="21"/>
                <w:lang w:eastAsia="zh-CN"/>
              </w:rPr>
            </w:pPr>
            <w:r>
              <w:rPr>
                <w:rFonts w:hint="eastAsia" w:ascii="仿宋" w:hAnsi="仿宋" w:eastAsia="仿宋" w:cs="Times New Roman"/>
                <w:szCs w:val="21"/>
                <w:lang w:eastAsia="zh-CN"/>
              </w:rPr>
              <w:t>职业病危害因素检测结果：</w:t>
            </w:r>
          </w:p>
          <w:p>
            <w:pPr>
              <w:spacing w:line="340" w:lineRule="exact"/>
              <w:ind w:firstLine="420" w:firstLineChars="200"/>
              <w:jc w:val="left"/>
              <w:rPr>
                <w:rFonts w:hint="eastAsia" w:ascii="仿宋" w:hAnsi="仿宋" w:eastAsia="仿宋" w:cs="Times New Roman"/>
                <w:szCs w:val="21"/>
                <w:lang w:eastAsia="zh-CN"/>
              </w:rPr>
            </w:pPr>
            <w:r>
              <w:rPr>
                <w:rFonts w:hint="eastAsia" w:ascii="仿宋" w:hAnsi="仿宋" w:eastAsia="仿宋" w:cs="Times New Roman"/>
                <w:szCs w:val="21"/>
                <w:lang w:val="en-US" w:eastAsia="zh-CN"/>
              </w:rPr>
              <w:t>其他各岗位噪声的检测结果均低于接触限值。</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5000" w:type="pct"/>
            <w:gridSpan w:val="6"/>
            <w:tcBorders>
              <w:top w:val="single" w:color="auto" w:sz="4" w:space="0"/>
              <w:bottom w:val="single" w:color="auto" w:sz="4" w:space="0"/>
            </w:tcBorders>
          </w:tcPr>
          <w:p>
            <w:pPr>
              <w:spacing w:line="340" w:lineRule="exact"/>
              <w:ind w:firstLine="420" w:firstLineChars="200"/>
              <w:jc w:val="both"/>
              <w:rPr>
                <w:rFonts w:hint="eastAsia" w:ascii="仿宋" w:hAnsi="仿宋" w:eastAsia="仿宋" w:cs="Times New Roman"/>
                <w:szCs w:val="21"/>
                <w:lang w:val="en-US" w:eastAsia="zh-CN"/>
              </w:rPr>
            </w:pPr>
            <w:r>
              <w:rPr>
                <w:rFonts w:hint="eastAsia" w:ascii="仿宋" w:hAnsi="仿宋" w:eastAsia="仿宋" w:cs="Times New Roman"/>
                <w:szCs w:val="21"/>
              </w:rPr>
              <w:t>评价</w:t>
            </w:r>
            <w:r>
              <w:rPr>
                <w:rFonts w:hint="eastAsia" w:ascii="仿宋" w:hAnsi="仿宋" w:eastAsia="仿宋" w:cs="Times New Roman"/>
                <w:szCs w:val="21"/>
                <w:lang w:val="en-US" w:eastAsia="zh-CN"/>
              </w:rPr>
              <w:t>结论与建议</w:t>
            </w:r>
          </w:p>
          <w:p>
            <w:pPr>
              <w:spacing w:line="340" w:lineRule="exact"/>
              <w:ind w:firstLine="420" w:firstLineChars="200"/>
              <w:jc w:val="both"/>
              <w:rPr>
                <w:rFonts w:hint="default" w:ascii="仿宋" w:hAnsi="仿宋" w:eastAsia="仿宋" w:cs="Times New Roman"/>
                <w:szCs w:val="21"/>
                <w:lang w:val="en-US" w:eastAsia="zh-CN"/>
              </w:rPr>
            </w:pPr>
            <w:r>
              <w:rPr>
                <w:rFonts w:hint="eastAsia" w:ascii="仿宋" w:hAnsi="仿宋" w:eastAsia="仿宋" w:cs="Times New Roman"/>
                <w:szCs w:val="21"/>
                <w:lang w:val="en-US" w:eastAsia="zh-CN"/>
              </w:rPr>
              <w:t>职业病危害风险分类：一般</w:t>
            </w:r>
          </w:p>
          <w:p>
            <w:pPr>
              <w:spacing w:line="340" w:lineRule="exact"/>
              <w:ind w:firstLine="420" w:firstLineChars="200"/>
              <w:jc w:val="both"/>
              <w:rPr>
                <w:rFonts w:hint="eastAsia" w:ascii="仿宋" w:hAnsi="仿宋" w:eastAsia="仿宋" w:cs="Times New Roman"/>
                <w:szCs w:val="21"/>
                <w:lang w:val="en-US" w:eastAsia="zh-CN"/>
              </w:rPr>
            </w:pPr>
            <w:r>
              <w:rPr>
                <w:rFonts w:hint="eastAsia" w:ascii="仿宋" w:hAnsi="仿宋" w:eastAsia="仿宋" w:cs="Times New Roman"/>
                <w:szCs w:val="21"/>
                <w:lang w:val="en-US" w:eastAsia="zh-CN"/>
              </w:rPr>
              <w:t>建议：</w:t>
            </w:r>
            <w:bookmarkStart w:id="1" w:name="_GoBack"/>
            <w:bookmarkEnd w:id="1"/>
          </w:p>
          <w:p>
            <w:pPr>
              <w:spacing w:line="340" w:lineRule="exact"/>
              <w:ind w:firstLine="420" w:firstLineChars="200"/>
              <w:jc w:val="both"/>
              <w:rPr>
                <w:rFonts w:hint="default" w:ascii="仿宋" w:hAnsi="仿宋" w:eastAsia="仿宋"/>
                <w:lang w:val="en-US" w:eastAsia="zh-CN"/>
              </w:rPr>
            </w:pPr>
            <w:bookmarkStart w:id="0" w:name="_Toc463774038"/>
            <w:r>
              <w:rPr>
                <w:rFonts w:hint="default" w:ascii="仿宋" w:hAnsi="仿宋" w:eastAsia="仿宋"/>
                <w:lang w:val="en-US" w:eastAsia="zh-CN"/>
              </w:rPr>
              <w:t>建议分销中心或委外单位今后按照《用人单位职业健康监护监督管理办法》（原国家安全生产监督管理总局令第49号）、《职业健康监护技术规范》（GBZ188-2014）的要求，每年安排接触职业病危害因素（包括特殊作业）的员工进行相应的上岗前、在岗期间、离岗时的职业健康检查，并完善职业卫生管理档案。各岗位具体检查项目参照《职业健康监护技术规范》（GBZ188-2014）、本报告第8章内容及相应的职业病危害因素检测报告。</w:t>
            </w:r>
            <w:bookmarkEnd w:id="0"/>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modern"/>
    <w:pitch w:val="default"/>
    <w:sig w:usb0="E0002EFF" w:usb1="C000785B" w:usb2="00000009" w:usb3="00000000" w:csb0="400001FF" w:csb1="FFFF0000"/>
  </w:font>
  <w:font w:name="宋体">
    <w:panose1 w:val="02010600030101010101"/>
    <w:charset w:val="80"/>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22007A4"/>
    <w:multiLevelType w:val="singleLevel"/>
    <w:tmpl w:val="122007A4"/>
    <w:lvl w:ilvl="0" w:tentative="0">
      <w:start w:val="1"/>
      <w:numFmt w:val="bullet"/>
      <w:pStyle w:val="7"/>
      <w:lvlText w:val=""/>
      <w:lvlJc w:val="left"/>
      <w:pPr>
        <w:tabs>
          <w:tab w:val="left" w:pos="2040"/>
        </w:tabs>
        <w:ind w:left="204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mE5MWQ2MDk4ZDU3OTQ0NGFmZTc1MDIyODUyMDQ1YWYifQ=="/>
  </w:docVars>
  <w:rsids>
    <w:rsidRoot w:val="002D5244"/>
    <w:rsid w:val="00051C70"/>
    <w:rsid w:val="000B168E"/>
    <w:rsid w:val="000D4C60"/>
    <w:rsid w:val="000F661D"/>
    <w:rsid w:val="00180ED4"/>
    <w:rsid w:val="002D2B6F"/>
    <w:rsid w:val="002D5244"/>
    <w:rsid w:val="0034231F"/>
    <w:rsid w:val="00355A35"/>
    <w:rsid w:val="003F0872"/>
    <w:rsid w:val="004B6752"/>
    <w:rsid w:val="004F70BB"/>
    <w:rsid w:val="00531B8B"/>
    <w:rsid w:val="005B6422"/>
    <w:rsid w:val="005C5F7A"/>
    <w:rsid w:val="00702B18"/>
    <w:rsid w:val="007F4BCD"/>
    <w:rsid w:val="00946DA3"/>
    <w:rsid w:val="00947E62"/>
    <w:rsid w:val="00996E59"/>
    <w:rsid w:val="009E2F87"/>
    <w:rsid w:val="00A01BF0"/>
    <w:rsid w:val="00B54B98"/>
    <w:rsid w:val="00D31C3C"/>
    <w:rsid w:val="00D86716"/>
    <w:rsid w:val="00DA711E"/>
    <w:rsid w:val="00DF0F69"/>
    <w:rsid w:val="00E04A58"/>
    <w:rsid w:val="00EB6037"/>
    <w:rsid w:val="00EC7B75"/>
    <w:rsid w:val="00FA4F11"/>
    <w:rsid w:val="01075579"/>
    <w:rsid w:val="01233096"/>
    <w:rsid w:val="022C2C17"/>
    <w:rsid w:val="03E91FCE"/>
    <w:rsid w:val="04363A1E"/>
    <w:rsid w:val="046F5658"/>
    <w:rsid w:val="048F57A0"/>
    <w:rsid w:val="04B472CB"/>
    <w:rsid w:val="05594203"/>
    <w:rsid w:val="05C84116"/>
    <w:rsid w:val="05E337FC"/>
    <w:rsid w:val="085F7AA2"/>
    <w:rsid w:val="08744698"/>
    <w:rsid w:val="09100F06"/>
    <w:rsid w:val="09214C02"/>
    <w:rsid w:val="093820FC"/>
    <w:rsid w:val="096D2D05"/>
    <w:rsid w:val="0983368B"/>
    <w:rsid w:val="0A0D4238"/>
    <w:rsid w:val="0A3D36E8"/>
    <w:rsid w:val="0A98139A"/>
    <w:rsid w:val="0AF3628F"/>
    <w:rsid w:val="0B35399D"/>
    <w:rsid w:val="0B7D2159"/>
    <w:rsid w:val="0C943AA2"/>
    <w:rsid w:val="0CBC40CB"/>
    <w:rsid w:val="0DB241E0"/>
    <w:rsid w:val="0DFE5677"/>
    <w:rsid w:val="0E055229"/>
    <w:rsid w:val="0F3533E3"/>
    <w:rsid w:val="0FA83A21"/>
    <w:rsid w:val="0FD04F1D"/>
    <w:rsid w:val="10046B9B"/>
    <w:rsid w:val="112C7A85"/>
    <w:rsid w:val="118E6431"/>
    <w:rsid w:val="11BA35F1"/>
    <w:rsid w:val="11D131E6"/>
    <w:rsid w:val="123C4CE7"/>
    <w:rsid w:val="12772793"/>
    <w:rsid w:val="128A091B"/>
    <w:rsid w:val="13050ECF"/>
    <w:rsid w:val="13B14F39"/>
    <w:rsid w:val="141D14AB"/>
    <w:rsid w:val="1586775E"/>
    <w:rsid w:val="16655581"/>
    <w:rsid w:val="17932E87"/>
    <w:rsid w:val="184E1992"/>
    <w:rsid w:val="1A615541"/>
    <w:rsid w:val="1A8816B5"/>
    <w:rsid w:val="1AC4293F"/>
    <w:rsid w:val="1B3F462B"/>
    <w:rsid w:val="1C81326A"/>
    <w:rsid w:val="1D24536D"/>
    <w:rsid w:val="1E5D4AE2"/>
    <w:rsid w:val="225644EE"/>
    <w:rsid w:val="22B71C55"/>
    <w:rsid w:val="22C32FEA"/>
    <w:rsid w:val="22DF27E2"/>
    <w:rsid w:val="22E60FE0"/>
    <w:rsid w:val="22ED255B"/>
    <w:rsid w:val="234D2E21"/>
    <w:rsid w:val="24201B09"/>
    <w:rsid w:val="24832815"/>
    <w:rsid w:val="24BF02CB"/>
    <w:rsid w:val="24F444EE"/>
    <w:rsid w:val="256F54C5"/>
    <w:rsid w:val="257E5312"/>
    <w:rsid w:val="26284A18"/>
    <w:rsid w:val="279F712B"/>
    <w:rsid w:val="28740979"/>
    <w:rsid w:val="287C74F6"/>
    <w:rsid w:val="2A413DAE"/>
    <w:rsid w:val="2A460333"/>
    <w:rsid w:val="2A566F28"/>
    <w:rsid w:val="2AF72B6B"/>
    <w:rsid w:val="2B810195"/>
    <w:rsid w:val="2BBB13C9"/>
    <w:rsid w:val="2C2C73FB"/>
    <w:rsid w:val="2C6117C4"/>
    <w:rsid w:val="2DB674EC"/>
    <w:rsid w:val="2E9C5628"/>
    <w:rsid w:val="2FC91E74"/>
    <w:rsid w:val="2FCC56C2"/>
    <w:rsid w:val="30446B3E"/>
    <w:rsid w:val="306A10C8"/>
    <w:rsid w:val="31ED0CE4"/>
    <w:rsid w:val="32020A91"/>
    <w:rsid w:val="32034EF7"/>
    <w:rsid w:val="3267118D"/>
    <w:rsid w:val="329F305B"/>
    <w:rsid w:val="32A80965"/>
    <w:rsid w:val="32EA744A"/>
    <w:rsid w:val="337324E5"/>
    <w:rsid w:val="34B0573E"/>
    <w:rsid w:val="34C43209"/>
    <w:rsid w:val="34DD368C"/>
    <w:rsid w:val="36F55F5E"/>
    <w:rsid w:val="379A445F"/>
    <w:rsid w:val="38986280"/>
    <w:rsid w:val="38FC2442"/>
    <w:rsid w:val="392755EE"/>
    <w:rsid w:val="393C79FB"/>
    <w:rsid w:val="39863298"/>
    <w:rsid w:val="39CF0E62"/>
    <w:rsid w:val="39D13637"/>
    <w:rsid w:val="3A415082"/>
    <w:rsid w:val="3A69467A"/>
    <w:rsid w:val="3C344673"/>
    <w:rsid w:val="3CDC1242"/>
    <w:rsid w:val="3DB334D8"/>
    <w:rsid w:val="3DDD3902"/>
    <w:rsid w:val="3E7013C9"/>
    <w:rsid w:val="3E8D6156"/>
    <w:rsid w:val="3EB43064"/>
    <w:rsid w:val="3F312ACB"/>
    <w:rsid w:val="3FAF61F9"/>
    <w:rsid w:val="3FC720B2"/>
    <w:rsid w:val="3FCD0C8D"/>
    <w:rsid w:val="40922C7C"/>
    <w:rsid w:val="40C764D4"/>
    <w:rsid w:val="41006A35"/>
    <w:rsid w:val="41013860"/>
    <w:rsid w:val="41EB02E9"/>
    <w:rsid w:val="42973632"/>
    <w:rsid w:val="43696829"/>
    <w:rsid w:val="444D05BE"/>
    <w:rsid w:val="444E3803"/>
    <w:rsid w:val="45B54C00"/>
    <w:rsid w:val="46DE4CD7"/>
    <w:rsid w:val="471C20EE"/>
    <w:rsid w:val="47FD3CCE"/>
    <w:rsid w:val="489919E1"/>
    <w:rsid w:val="48C44256"/>
    <w:rsid w:val="49062CF8"/>
    <w:rsid w:val="493B6A03"/>
    <w:rsid w:val="49B13B80"/>
    <w:rsid w:val="4B43101F"/>
    <w:rsid w:val="4B831A2D"/>
    <w:rsid w:val="4B8C5A1B"/>
    <w:rsid w:val="4B9A779E"/>
    <w:rsid w:val="4BAA4805"/>
    <w:rsid w:val="4DB0066E"/>
    <w:rsid w:val="4DED16AB"/>
    <w:rsid w:val="4DF40F01"/>
    <w:rsid w:val="4E200D3B"/>
    <w:rsid w:val="4E347AA3"/>
    <w:rsid w:val="4E813ADD"/>
    <w:rsid w:val="4F8265E1"/>
    <w:rsid w:val="4FB855E9"/>
    <w:rsid w:val="4FF758B6"/>
    <w:rsid w:val="50D15247"/>
    <w:rsid w:val="512C2345"/>
    <w:rsid w:val="515A1D00"/>
    <w:rsid w:val="519C0207"/>
    <w:rsid w:val="51CE4DF0"/>
    <w:rsid w:val="52824423"/>
    <w:rsid w:val="53A60229"/>
    <w:rsid w:val="5429164F"/>
    <w:rsid w:val="55FA2FD9"/>
    <w:rsid w:val="58546E79"/>
    <w:rsid w:val="587649C4"/>
    <w:rsid w:val="58EB2640"/>
    <w:rsid w:val="591661C0"/>
    <w:rsid w:val="593340C0"/>
    <w:rsid w:val="593560BB"/>
    <w:rsid w:val="593E7CA2"/>
    <w:rsid w:val="59551042"/>
    <w:rsid w:val="599324EC"/>
    <w:rsid w:val="59B54DBC"/>
    <w:rsid w:val="59F310C3"/>
    <w:rsid w:val="5A7668FF"/>
    <w:rsid w:val="5AD91257"/>
    <w:rsid w:val="5B0B6673"/>
    <w:rsid w:val="5C4E31D9"/>
    <w:rsid w:val="5C9163EF"/>
    <w:rsid w:val="5D0358C3"/>
    <w:rsid w:val="5D655039"/>
    <w:rsid w:val="5DB73636"/>
    <w:rsid w:val="5E2E29DB"/>
    <w:rsid w:val="5FB33ED8"/>
    <w:rsid w:val="606326E4"/>
    <w:rsid w:val="60A35A27"/>
    <w:rsid w:val="619873BC"/>
    <w:rsid w:val="61ED2B7C"/>
    <w:rsid w:val="62202C06"/>
    <w:rsid w:val="62C73780"/>
    <w:rsid w:val="62D13DCC"/>
    <w:rsid w:val="62FD1B58"/>
    <w:rsid w:val="634D0270"/>
    <w:rsid w:val="63547A09"/>
    <w:rsid w:val="63D76110"/>
    <w:rsid w:val="63EF3ED8"/>
    <w:rsid w:val="644F0FB6"/>
    <w:rsid w:val="64E31BF6"/>
    <w:rsid w:val="6512485F"/>
    <w:rsid w:val="6524773E"/>
    <w:rsid w:val="65B00957"/>
    <w:rsid w:val="65C54843"/>
    <w:rsid w:val="65D57061"/>
    <w:rsid w:val="662612F7"/>
    <w:rsid w:val="66325962"/>
    <w:rsid w:val="668A68F6"/>
    <w:rsid w:val="67697C8C"/>
    <w:rsid w:val="68AB2361"/>
    <w:rsid w:val="68D643E7"/>
    <w:rsid w:val="69530817"/>
    <w:rsid w:val="69B04386"/>
    <w:rsid w:val="69C1684D"/>
    <w:rsid w:val="69E77EE2"/>
    <w:rsid w:val="6A497BD0"/>
    <w:rsid w:val="6B3A1D96"/>
    <w:rsid w:val="6BEF1DD1"/>
    <w:rsid w:val="6E2470D7"/>
    <w:rsid w:val="6E524B44"/>
    <w:rsid w:val="6E9A3488"/>
    <w:rsid w:val="70116BE1"/>
    <w:rsid w:val="70147557"/>
    <w:rsid w:val="701D3EBA"/>
    <w:rsid w:val="702C2AF3"/>
    <w:rsid w:val="70D50035"/>
    <w:rsid w:val="710C10F0"/>
    <w:rsid w:val="713A7A58"/>
    <w:rsid w:val="7195798E"/>
    <w:rsid w:val="72177E12"/>
    <w:rsid w:val="721A7053"/>
    <w:rsid w:val="72F36989"/>
    <w:rsid w:val="73FC35FE"/>
    <w:rsid w:val="74DF0225"/>
    <w:rsid w:val="75046F0E"/>
    <w:rsid w:val="756C1E83"/>
    <w:rsid w:val="76D53613"/>
    <w:rsid w:val="76E0681B"/>
    <w:rsid w:val="77100BCB"/>
    <w:rsid w:val="77855BA7"/>
    <w:rsid w:val="7793772C"/>
    <w:rsid w:val="77EE2A2C"/>
    <w:rsid w:val="788E2A8E"/>
    <w:rsid w:val="78955B8C"/>
    <w:rsid w:val="78F56D1D"/>
    <w:rsid w:val="798C7E32"/>
    <w:rsid w:val="7B2B3FEA"/>
    <w:rsid w:val="7B3639AE"/>
    <w:rsid w:val="7BF56302"/>
    <w:rsid w:val="7D9940D6"/>
    <w:rsid w:val="7DE82510"/>
    <w:rsid w:val="7ED82642"/>
    <w:rsid w:val="7F0526E2"/>
    <w:rsid w:val="7FA510E5"/>
    <w:rsid w:val="7FCE48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qFormat="1"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qFormat="1"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4"/>
    <w:semiHidden/>
    <w:unhideWhenUsed/>
    <w:qFormat/>
    <w:uiPriority w:val="99"/>
    <w:pPr>
      <w:ind w:firstLine="420" w:firstLineChars="200"/>
    </w:pPr>
  </w:style>
  <w:style w:type="paragraph" w:styleId="3">
    <w:name w:val="Body Text Indent"/>
    <w:basedOn w:val="1"/>
    <w:next w:val="1"/>
    <w:semiHidden/>
    <w:unhideWhenUsed/>
    <w:qFormat/>
    <w:uiPriority w:val="99"/>
    <w:pPr>
      <w:spacing w:after="120" w:afterLines="0" w:afterAutospacing="0"/>
      <w:ind w:left="420" w:leftChars="200"/>
    </w:pPr>
  </w:style>
  <w:style w:type="paragraph" w:styleId="4">
    <w:name w:val="Body Text First Indent"/>
    <w:basedOn w:val="5"/>
    <w:next w:val="1"/>
    <w:qFormat/>
    <w:uiPriority w:val="0"/>
    <w:pPr>
      <w:spacing w:after="120" w:line="240" w:lineRule="auto"/>
      <w:ind w:firstLine="420" w:firstLineChars="100"/>
    </w:pPr>
    <w:rPr>
      <w:rFonts w:ascii="Times New Roman" w:eastAsia="宋体"/>
      <w:color w:val="auto"/>
      <w:spacing w:val="0"/>
      <w:sz w:val="21"/>
      <w:lang w:val="en-US" w:eastAsia="zh-CN"/>
    </w:rPr>
  </w:style>
  <w:style w:type="paragraph" w:styleId="5">
    <w:name w:val="Body Text"/>
    <w:basedOn w:val="1"/>
    <w:next w:val="1"/>
    <w:qFormat/>
    <w:uiPriority w:val="0"/>
    <w:pPr>
      <w:spacing w:line="460" w:lineRule="exact"/>
    </w:pPr>
    <w:rPr>
      <w:rFonts w:ascii="仿宋_GB2312"/>
      <w:color w:val="000000"/>
      <w:spacing w:val="8"/>
      <w:szCs w:val="24"/>
    </w:rPr>
  </w:style>
  <w:style w:type="paragraph" w:styleId="6">
    <w:name w:val="annotation text"/>
    <w:basedOn w:val="1"/>
    <w:link w:val="21"/>
    <w:semiHidden/>
    <w:unhideWhenUsed/>
    <w:qFormat/>
    <w:uiPriority w:val="99"/>
    <w:pPr>
      <w:jc w:val="left"/>
    </w:pPr>
  </w:style>
  <w:style w:type="paragraph" w:styleId="7">
    <w:name w:val="List Bullet 5"/>
    <w:basedOn w:val="1"/>
    <w:semiHidden/>
    <w:unhideWhenUsed/>
    <w:qFormat/>
    <w:uiPriority w:val="99"/>
    <w:pPr>
      <w:numPr>
        <w:ilvl w:val="0"/>
        <w:numId w:val="1"/>
      </w:numPr>
    </w:pPr>
  </w:style>
  <w:style w:type="paragraph" w:styleId="8">
    <w:name w:val="Balloon Text"/>
    <w:basedOn w:val="1"/>
    <w:link w:val="23"/>
    <w:semiHidden/>
    <w:unhideWhenUsed/>
    <w:qFormat/>
    <w:uiPriority w:val="99"/>
    <w:rPr>
      <w:sz w:val="18"/>
      <w:szCs w:val="18"/>
    </w:rPr>
  </w:style>
  <w:style w:type="paragraph" w:styleId="9">
    <w:name w:val="footer"/>
    <w:basedOn w:val="1"/>
    <w:link w:val="17"/>
    <w:semiHidden/>
    <w:unhideWhenUsed/>
    <w:qFormat/>
    <w:uiPriority w:val="99"/>
    <w:pPr>
      <w:tabs>
        <w:tab w:val="center" w:pos="4153"/>
        <w:tab w:val="right" w:pos="8306"/>
      </w:tabs>
      <w:snapToGrid w:val="0"/>
      <w:jc w:val="left"/>
    </w:pPr>
    <w:rPr>
      <w:sz w:val="18"/>
      <w:szCs w:val="18"/>
    </w:rPr>
  </w:style>
  <w:style w:type="paragraph" w:styleId="10">
    <w:name w:val="header"/>
    <w:basedOn w:val="1"/>
    <w:link w:val="16"/>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Title"/>
    <w:basedOn w:val="1"/>
    <w:next w:val="1"/>
    <w:qFormat/>
    <w:uiPriority w:val="0"/>
    <w:pPr>
      <w:tabs>
        <w:tab w:val="left" w:pos="360"/>
        <w:tab w:val="left" w:pos="620"/>
      </w:tabs>
      <w:spacing w:before="240" w:after="60"/>
      <w:jc w:val="left"/>
      <w:outlineLvl w:val="0"/>
    </w:pPr>
    <w:rPr>
      <w:rFonts w:ascii="Arial" w:hAnsi="Arial" w:eastAsia="宋体"/>
      <w:b/>
      <w:sz w:val="32"/>
    </w:rPr>
  </w:style>
  <w:style w:type="paragraph" w:styleId="12">
    <w:name w:val="annotation subject"/>
    <w:basedOn w:val="6"/>
    <w:next w:val="6"/>
    <w:link w:val="22"/>
    <w:semiHidden/>
    <w:unhideWhenUsed/>
    <w:qFormat/>
    <w:uiPriority w:val="99"/>
    <w:rPr>
      <w:b/>
      <w:bCs/>
    </w:rPr>
  </w:style>
  <w:style w:type="character" w:styleId="15">
    <w:name w:val="annotation reference"/>
    <w:basedOn w:val="14"/>
    <w:semiHidden/>
    <w:unhideWhenUsed/>
    <w:qFormat/>
    <w:uiPriority w:val="99"/>
    <w:rPr>
      <w:sz w:val="21"/>
      <w:szCs w:val="21"/>
    </w:rPr>
  </w:style>
  <w:style w:type="character" w:customStyle="1" w:styleId="16">
    <w:name w:val="页眉 Char"/>
    <w:basedOn w:val="14"/>
    <w:link w:val="10"/>
    <w:semiHidden/>
    <w:qFormat/>
    <w:uiPriority w:val="99"/>
    <w:rPr>
      <w:sz w:val="18"/>
      <w:szCs w:val="18"/>
    </w:rPr>
  </w:style>
  <w:style w:type="character" w:customStyle="1" w:styleId="17">
    <w:name w:val="页脚 Char"/>
    <w:basedOn w:val="14"/>
    <w:link w:val="9"/>
    <w:semiHidden/>
    <w:qFormat/>
    <w:uiPriority w:val="99"/>
    <w:rPr>
      <w:sz w:val="18"/>
      <w:szCs w:val="18"/>
    </w:rPr>
  </w:style>
  <w:style w:type="character" w:customStyle="1" w:styleId="18">
    <w:name w:val="排版正文 Char Char"/>
    <w:link w:val="19"/>
    <w:qFormat/>
    <w:locked/>
    <w:uiPriority w:val="0"/>
    <w:rPr>
      <w:rFonts w:ascii="仿宋_GB2312" w:hAnsi="Times New Roman" w:eastAsia="仿宋_GB2312"/>
      <w:spacing w:val="8"/>
      <w:sz w:val="28"/>
      <w:szCs w:val="21"/>
    </w:rPr>
  </w:style>
  <w:style w:type="paragraph" w:customStyle="1" w:styleId="19">
    <w:name w:val="排版正文"/>
    <w:link w:val="18"/>
    <w:qFormat/>
    <w:uiPriority w:val="0"/>
    <w:pPr>
      <w:widowControl w:val="0"/>
      <w:spacing w:line="460" w:lineRule="exact"/>
      <w:ind w:firstLine="200" w:firstLineChars="200"/>
      <w:jc w:val="both"/>
    </w:pPr>
    <w:rPr>
      <w:rFonts w:ascii="仿宋_GB2312" w:hAnsi="Times New Roman" w:eastAsia="仿宋_GB2312" w:cstheme="minorBidi"/>
      <w:spacing w:val="8"/>
      <w:kern w:val="2"/>
      <w:sz w:val="28"/>
      <w:szCs w:val="21"/>
      <w:lang w:val="en-US" w:eastAsia="zh-CN" w:bidi="ar-SA"/>
    </w:rPr>
  </w:style>
  <w:style w:type="paragraph" w:styleId="20">
    <w:name w:val="List Paragraph"/>
    <w:basedOn w:val="1"/>
    <w:qFormat/>
    <w:uiPriority w:val="34"/>
    <w:pPr>
      <w:ind w:firstLine="420" w:firstLineChars="200"/>
    </w:pPr>
  </w:style>
  <w:style w:type="character" w:customStyle="1" w:styleId="21">
    <w:name w:val="批注文字 Char"/>
    <w:basedOn w:val="14"/>
    <w:link w:val="6"/>
    <w:semiHidden/>
    <w:qFormat/>
    <w:uiPriority w:val="99"/>
  </w:style>
  <w:style w:type="character" w:customStyle="1" w:styleId="22">
    <w:name w:val="批注主题 Char"/>
    <w:basedOn w:val="21"/>
    <w:link w:val="12"/>
    <w:semiHidden/>
    <w:qFormat/>
    <w:uiPriority w:val="99"/>
    <w:rPr>
      <w:b/>
      <w:bCs/>
    </w:rPr>
  </w:style>
  <w:style w:type="character" w:customStyle="1" w:styleId="23">
    <w:name w:val="批注框文本 Char"/>
    <w:basedOn w:val="14"/>
    <w:link w:val="8"/>
    <w:semiHidden/>
    <w:qFormat/>
    <w:uiPriority w:val="99"/>
    <w:rPr>
      <w:sz w:val="18"/>
      <w:szCs w:val="18"/>
    </w:rPr>
  </w:style>
  <w:style w:type="paragraph" w:customStyle="1" w:styleId="24">
    <w:name w:val="正文 + 四号"/>
    <w:basedOn w:val="1"/>
    <w:qFormat/>
    <w:uiPriority w:val="0"/>
    <w:pPr>
      <w:widowControl/>
      <w:spacing w:line="490" w:lineRule="exact"/>
      <w:ind w:firstLine="200" w:firstLineChars="200"/>
    </w:pPr>
    <w:rPr>
      <w:rFonts w:ascii="Times New Roman" w:hAnsi="Times New Roman" w:eastAsia="仿宋_GB2312" w:cs="Times New Roman"/>
      <w:color w:val="000000"/>
      <w:kern w:val="0"/>
      <w:sz w:val="28"/>
      <w:szCs w:val="21"/>
    </w:rPr>
  </w:style>
  <w:style w:type="character" w:customStyle="1" w:styleId="25">
    <w:name w:val="标题 2 Char"/>
    <w:qFormat/>
    <w:uiPriority w:val="0"/>
    <w:rPr>
      <w:rFonts w:ascii="宋体" w:hAnsi="宋体" w:eastAsia="宋体"/>
      <w:b/>
      <w:sz w:val="24"/>
      <w:szCs w:val="24"/>
      <w:lang w:val="en-US" w:eastAsia="zh-CN" w:bidi="ar-SA"/>
    </w:rPr>
  </w:style>
  <w:style w:type="paragraph" w:customStyle="1" w:styleId="26">
    <w:name w:val="段"/>
    <w:qFormat/>
    <w:uiPriority w:val="0"/>
    <w:pPr>
      <w:autoSpaceDE w:val="0"/>
      <w:autoSpaceDN w:val="0"/>
      <w:ind w:firstLine="200" w:firstLineChars="200"/>
      <w:jc w:val="both"/>
    </w:pPr>
    <w:rPr>
      <w:rFonts w:ascii="宋体" w:hAnsi="等线" w:eastAsia="等线" w:cs="Times New Roman"/>
      <w:kern w:val="2"/>
      <w:sz w:val="21"/>
      <w:szCs w:val="21"/>
      <w:lang w:val="en-US" w:eastAsia="zh-CN" w:bidi="ar-SA"/>
    </w:rPr>
  </w:style>
  <w:style w:type="paragraph" w:customStyle="1" w:styleId="27">
    <w:name w:val="正文字样"/>
    <w:basedOn w:val="11"/>
    <w:qFormat/>
    <w:uiPriority w:val="0"/>
    <w:pPr>
      <w:spacing w:before="0" w:after="0" w:line="490" w:lineRule="exact"/>
      <w:ind w:firstLine="200" w:firstLineChars="200"/>
      <w:jc w:val="both"/>
      <w:outlineLvl w:val="9"/>
    </w:pPr>
    <w:rPr>
      <w:rFonts w:ascii="Times New Roman" w:hAnsi="Times New Roman" w:eastAsia="仿宋_GB2312"/>
      <w:b w:val="0"/>
      <w:bCs/>
      <w:color w:val="000000"/>
      <w:sz w:val="28"/>
      <w:szCs w:val="28"/>
    </w:rPr>
  </w:style>
  <w:style w:type="paragraph" w:customStyle="1" w:styleId="28">
    <w:name w:val="Default"/>
    <w:qFormat/>
    <w:uiPriority w:val="0"/>
    <w:pPr>
      <w:widowControl w:val="0"/>
      <w:autoSpaceDE w:val="0"/>
      <w:autoSpaceDN w:val="0"/>
      <w:adjustRightInd w:val="0"/>
      <w:spacing w:line="490" w:lineRule="exact"/>
      <w:ind w:firstLine="422" w:firstLineChars="200"/>
    </w:pPr>
    <w:rPr>
      <w:rFonts w:ascii="Times New Roman" w:hAnsi="Times New Roman" w:eastAsia="仿宋_GB2312" w:cs="宋体"/>
      <w:color w:val="000000"/>
      <w:kern w:val="2"/>
      <w:sz w:val="28"/>
      <w:szCs w:val="24"/>
      <w:lang w:val="en-US" w:eastAsia="zh-CN" w:bidi="ar-SA"/>
    </w:rPr>
  </w:style>
  <w:style w:type="paragraph" w:customStyle="1" w:styleId="29">
    <w:name w:val="图表标题栏"/>
    <w:basedOn w:val="30"/>
    <w:qFormat/>
    <w:uiPriority w:val="0"/>
  </w:style>
  <w:style w:type="paragraph" w:customStyle="1" w:styleId="30">
    <w:name w:val="图表标题"/>
    <w:basedOn w:val="1"/>
    <w:qFormat/>
    <w:uiPriority w:val="99"/>
    <w:pPr>
      <w:jc w:val="center"/>
    </w:pPr>
    <w:rPr>
      <w:rFonts w:ascii="Times New Roman" w:hAnsi="Times New Roman"/>
      <w:b/>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A8D332-0D06-4AF6-943B-D4197465BDE6}">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Pages>
  <Words>1582</Words>
  <Characters>1728</Characters>
  <Lines>6</Lines>
  <Paragraphs>1</Paragraphs>
  <TotalTime>0</TotalTime>
  <ScaleCrop>false</ScaleCrop>
  <LinksUpToDate>false</LinksUpToDate>
  <CharactersWithSpaces>1730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2020-04-20T09:11:00Z</dcterms:created>
  <dc:creator>微软用户</dc:creator>
  <cp:lastModifiedBy>丁伦</cp:lastModifiedBy>
  <dcterms:modified xsi:type="dcterms:W3CDTF">2023-05-18T01:09:21Z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115098DA71D148B88D029956B58E938E</vt:lpwstr>
  </property>
</Properties>
</file>