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5220"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708"/>
        <w:gridCol w:w="2276"/>
        <w:gridCol w:w="1294"/>
        <w:gridCol w:w="1859"/>
        <w:gridCol w:w="849"/>
        <w:gridCol w:w="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建设单位</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美迪科包装印刷（广州）有限公司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br w:type="page"/>
            </w:r>
            <w:r>
              <w:rPr>
                <w:rFonts w:ascii="仿宋" w:hAnsi="仿宋" w:eastAsia="仿宋" w:cs="Times New Roman"/>
                <w:szCs w:val="21"/>
              </w:rPr>
              <w:t>项目名称</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eastAsia="zh-CN"/>
              </w:rPr>
              <w:t>美迪科包装印刷（广州）有限公司建设项目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项目地址</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center"/>
              <w:rPr>
                <w:rFonts w:hint="eastAsia" w:ascii="仿宋" w:hAnsi="仿宋" w:eastAsia="仿宋" w:cs="Times New Roman"/>
                <w:szCs w:val="21"/>
                <w:lang w:eastAsia="zh-CN"/>
              </w:rPr>
            </w:pPr>
            <w:r>
              <w:rPr>
                <w:rFonts w:hint="eastAsia" w:ascii="仿宋" w:hAnsi="仿宋" w:eastAsia="仿宋" w:cs="Times New Roman"/>
                <w:szCs w:val="21"/>
                <w:lang w:val="en-US" w:eastAsia="zh-CN"/>
              </w:rPr>
              <w:t>广州市黄埔区永和经济区香荔三路7号之一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项目性质</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现有企业</w:t>
            </w:r>
            <w:r>
              <w:rPr>
                <w:rFonts w:ascii="仿宋" w:hAnsi="仿宋" w:eastAsia="仿宋" w:cs="Times New Roman"/>
                <w:szCs w:val="21"/>
              </w:rPr>
              <w:sym w:font="Wingdings 2" w:char="0052"/>
            </w:r>
            <w:r>
              <w:rPr>
                <w:rFonts w:hint="eastAsia" w:ascii="仿宋" w:hAnsi="仿宋" w:eastAsia="仿宋" w:cs="Times New Roman"/>
                <w:szCs w:val="21"/>
              </w:rPr>
              <w:t xml:space="preserve">  </w:t>
            </w:r>
            <w:r>
              <w:rPr>
                <w:rFonts w:ascii="仿宋" w:hAnsi="仿宋" w:eastAsia="仿宋" w:cs="Times New Roman"/>
                <w:szCs w:val="21"/>
              </w:rPr>
              <w:t>新建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改建</w:t>
            </w:r>
            <w:r>
              <w:rPr>
                <w:rFonts w:ascii="仿宋" w:hAnsi="仿宋" w:eastAsia="仿宋" w:cs="Times New Roman"/>
                <w:szCs w:val="21"/>
              </w:rPr>
              <w:sym w:font="Wingdings 2" w:char="00A3"/>
            </w:r>
            <w:r>
              <w:rPr>
                <w:rFonts w:ascii="仿宋" w:hAnsi="仿宋" w:eastAsia="仿宋" w:cs="Times New Roman"/>
                <w:szCs w:val="21"/>
              </w:rPr>
              <w:t xml:space="preserve"> </w:t>
            </w:r>
            <w:r>
              <w:rPr>
                <w:rFonts w:hint="eastAsia" w:ascii="仿宋" w:hAnsi="仿宋" w:eastAsia="仿宋" w:cs="Times New Roman"/>
                <w:szCs w:val="21"/>
              </w:rPr>
              <w:t xml:space="preserve"> </w:t>
            </w:r>
            <w:r>
              <w:rPr>
                <w:rFonts w:ascii="仿宋" w:hAnsi="仿宋" w:eastAsia="仿宋" w:cs="Times New Roman"/>
                <w:szCs w:val="21"/>
              </w:rPr>
              <w:t xml:space="preserve">扩建□ </w:t>
            </w:r>
            <w:r>
              <w:rPr>
                <w:rFonts w:hint="eastAsia" w:ascii="仿宋" w:hAnsi="仿宋" w:eastAsia="仿宋" w:cs="Times New Roman"/>
                <w:szCs w:val="21"/>
              </w:rPr>
              <w:t xml:space="preserve"> </w:t>
            </w:r>
            <w:r>
              <w:rPr>
                <w:rFonts w:ascii="仿宋" w:hAnsi="仿宋" w:eastAsia="仿宋" w:cs="Times New Roman"/>
                <w:szCs w:val="21"/>
              </w:rPr>
              <w:t>技术改造□</w:t>
            </w:r>
            <w:r>
              <w:rPr>
                <w:rFonts w:hint="eastAsia" w:ascii="仿宋" w:hAnsi="仿宋" w:eastAsia="仿宋" w:cs="Times New Roman"/>
                <w:szCs w:val="21"/>
              </w:rPr>
              <w:t xml:space="preserve">  </w:t>
            </w:r>
            <w:r>
              <w:rPr>
                <w:rFonts w:ascii="仿宋" w:hAnsi="仿宋" w:eastAsia="仿宋" w:cs="Times New Roman"/>
                <w:szCs w:val="21"/>
              </w:rPr>
              <w:t>技术引进□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bottom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项目</w:t>
            </w:r>
            <w:r>
              <w:rPr>
                <w:rFonts w:hint="eastAsia" w:ascii="仿宋" w:hAnsi="仿宋" w:eastAsia="仿宋" w:cs="Times New Roman"/>
                <w:szCs w:val="21"/>
              </w:rPr>
              <w:t>联系人</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张先生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公示信息类别</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职业病危害预评价</w:t>
            </w:r>
            <w:r>
              <w:rPr>
                <w:rFonts w:hint="eastAsia" w:ascii="仿宋" w:hAnsi="仿宋" w:eastAsia="仿宋" w:cs="Times New Roman"/>
                <w:szCs w:val="21"/>
              </w:rPr>
              <w:sym w:font="Wingdings 2" w:char="00A3"/>
            </w:r>
            <w:r>
              <w:rPr>
                <w:rFonts w:hint="eastAsia" w:ascii="仿宋" w:hAnsi="仿宋" w:eastAsia="仿宋" w:cs="Times New Roman"/>
                <w:szCs w:val="21"/>
              </w:rPr>
              <w:t xml:space="preserve">   职业病防护设施设计□   </w:t>
            </w:r>
          </w:p>
          <w:p>
            <w:pPr>
              <w:spacing w:line="340" w:lineRule="exact"/>
              <w:jc w:val="center"/>
              <w:rPr>
                <w:rFonts w:ascii="仿宋" w:hAnsi="仿宋" w:eastAsia="仿宋" w:cs="Times New Roman"/>
                <w:szCs w:val="21"/>
              </w:rPr>
            </w:pPr>
            <w:r>
              <w:rPr>
                <w:rFonts w:hint="eastAsia" w:ascii="仿宋" w:hAnsi="仿宋" w:eastAsia="仿宋" w:cs="Times New Roman"/>
                <w:szCs w:val="21"/>
              </w:rPr>
              <w:t>控制效果评价与职业病防护设施验收</w:t>
            </w:r>
            <w:r>
              <w:rPr>
                <w:rFonts w:ascii="仿宋" w:hAnsi="仿宋" w:eastAsia="仿宋" w:cs="Times New Roman"/>
                <w:szCs w:val="21"/>
              </w:rPr>
              <w:sym w:font="Wingdings 2" w:char="0052"/>
            </w:r>
            <w:r>
              <w:rPr>
                <w:rFonts w:hint="eastAsia" w:ascii="仿宋" w:hAnsi="仿宋" w:eastAsia="仿宋" w:cs="Times New Roman"/>
                <w:szCs w:val="21"/>
              </w:rPr>
              <w:t xml:space="preserve">   职业病危害现状评价□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项目简介</w:t>
            </w:r>
          </w:p>
        </w:tc>
        <w:tc>
          <w:tcPr>
            <w:tcW w:w="4039" w:type="pct"/>
            <w:gridSpan w:val="5"/>
            <w:tcBorders>
              <w:top w:val="single" w:color="auto" w:sz="4" w:space="0"/>
              <w:left w:val="single" w:color="auto" w:sz="4" w:space="0"/>
              <w:bottom w:val="single" w:color="auto" w:sz="4" w:space="0"/>
            </w:tcBorders>
            <w:vAlign w:val="center"/>
          </w:tcPr>
          <w:p>
            <w:pPr>
              <w:spacing w:line="340" w:lineRule="exact"/>
              <w:jc w:val="left"/>
              <w:rPr>
                <w:rFonts w:ascii="仿宋_GB2312" w:hAnsi="仿宋" w:eastAsia="仿宋_GB2312" w:cs="Times New Roman"/>
                <w:szCs w:val="21"/>
              </w:rPr>
            </w:pPr>
            <w:r>
              <w:rPr>
                <w:rFonts w:hint="eastAsia" w:ascii="仿宋" w:hAnsi="仿宋" w:eastAsia="仿宋" w:cs="Times New Roman"/>
                <w:szCs w:val="21"/>
                <w:lang w:val="en-US" w:eastAsia="zh-CN"/>
              </w:rPr>
              <w:t>该项目位于广州市黄埔区永盛路23号，占地面积约35000㎡，年清洗布草约25550万吨，现有职工人数432人，均采用白班制、每班作业8小时，每周工作5天。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现场调查人员</w:t>
            </w:r>
          </w:p>
        </w:tc>
        <w:tc>
          <w:tcPr>
            <w:tcW w:w="1279"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eastAsia" w:ascii="仿宋" w:hAnsi="仿宋" w:eastAsia="仿宋" w:cs="Times New Roman"/>
                <w:szCs w:val="21"/>
                <w:lang w:val="en-US" w:eastAsia="zh-CN"/>
              </w:rPr>
              <w:t>王其飞、何曼静</w:t>
            </w:r>
          </w:p>
        </w:tc>
        <w:tc>
          <w:tcPr>
            <w:tcW w:w="7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调查时间</w:t>
            </w:r>
          </w:p>
        </w:tc>
        <w:tc>
          <w:tcPr>
            <w:tcW w:w="1045" w:type="pct"/>
            <w:tcBorders>
              <w:top w:val="single" w:color="auto" w:sz="4" w:space="0"/>
              <w:left w:val="single" w:color="auto" w:sz="4" w:space="0"/>
              <w:bottom w:val="single" w:color="auto" w:sz="4" w:space="0"/>
            </w:tcBorders>
            <w:vAlign w:val="center"/>
          </w:tcPr>
          <w:p>
            <w:pPr>
              <w:spacing w:line="340" w:lineRule="exact"/>
              <w:jc w:val="center"/>
              <w:rPr>
                <w:rFonts w:hint="default" w:ascii="仿宋" w:hAnsi="仿宋" w:eastAsia="仿宋" w:cs="Times New Roman"/>
                <w:szCs w:val="21"/>
                <w:lang w:val="en-US" w:eastAsia="zh-CN"/>
              </w:rPr>
            </w:pPr>
            <w:r>
              <w:rPr>
                <w:rFonts w:hint="default" w:ascii="仿宋" w:hAnsi="仿宋" w:eastAsia="仿宋" w:cs="Times New Roman"/>
                <w:szCs w:val="21"/>
                <w:lang w:val="en-US" w:eastAsia="zh-CN"/>
              </w:rPr>
              <w:t>2022.01.19</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09"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张先生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960" w:type="pct"/>
            <w:tcBorders>
              <w:top w:val="single" w:color="auto" w:sz="4" w:space="0"/>
              <w:right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检测人员</w:t>
            </w:r>
          </w:p>
        </w:tc>
        <w:tc>
          <w:tcPr>
            <w:tcW w:w="1279"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万涛、罗志贤、罗宇滔、甄嘉城</w:t>
            </w:r>
          </w:p>
        </w:tc>
        <w:tc>
          <w:tcPr>
            <w:tcW w:w="72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检测时间</w:t>
            </w:r>
          </w:p>
        </w:tc>
        <w:tc>
          <w:tcPr>
            <w:tcW w:w="1045"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ascii="仿宋" w:hAnsi="仿宋" w:eastAsia="仿宋" w:cs="Times New Roman"/>
                <w:szCs w:val="21"/>
              </w:rPr>
              <w:t>2022</w:t>
            </w:r>
            <w:r>
              <w:rPr>
                <w:rFonts w:hint="eastAsia" w:ascii="仿宋" w:hAnsi="仿宋" w:eastAsia="仿宋" w:cs="Times New Roman"/>
                <w:szCs w:val="21"/>
                <w:lang w:val="en-US" w:eastAsia="zh-CN"/>
              </w:rPr>
              <w:t>.</w:t>
            </w:r>
            <w:r>
              <w:rPr>
                <w:rFonts w:ascii="仿宋" w:hAnsi="仿宋" w:eastAsia="仿宋" w:cs="Times New Roman"/>
                <w:szCs w:val="21"/>
              </w:rPr>
              <w:t>02</w:t>
            </w:r>
            <w:r>
              <w:rPr>
                <w:rFonts w:hint="eastAsia" w:ascii="仿宋" w:hAnsi="仿宋" w:eastAsia="仿宋" w:cs="Times New Roman"/>
                <w:szCs w:val="21"/>
                <w:lang w:val="en-US" w:eastAsia="zh-CN"/>
              </w:rPr>
              <w:t>.</w:t>
            </w:r>
            <w:r>
              <w:rPr>
                <w:rFonts w:ascii="仿宋" w:hAnsi="仿宋" w:eastAsia="仿宋" w:cs="Times New Roman"/>
                <w:szCs w:val="21"/>
              </w:rPr>
              <w:t>15</w:t>
            </w:r>
            <w:r>
              <w:rPr>
                <w:rFonts w:hint="eastAsia" w:ascii="仿宋" w:hAnsi="仿宋" w:eastAsia="仿宋" w:cs="Times New Roman"/>
                <w:szCs w:val="21"/>
              </w:rPr>
              <w:t>~</w:t>
            </w:r>
            <w:r>
              <w:rPr>
                <w:rFonts w:ascii="仿宋" w:hAnsi="仿宋" w:eastAsia="仿宋" w:cs="Times New Roman"/>
                <w:szCs w:val="21"/>
              </w:rPr>
              <w:t>17、04</w:t>
            </w:r>
            <w:r>
              <w:rPr>
                <w:rFonts w:hint="eastAsia" w:ascii="仿宋" w:hAnsi="仿宋" w:eastAsia="仿宋" w:cs="Times New Roman"/>
                <w:szCs w:val="21"/>
                <w:lang w:val="en-US" w:eastAsia="zh-CN"/>
              </w:rPr>
              <w:t>.</w:t>
            </w:r>
            <w:r>
              <w:rPr>
                <w:rFonts w:ascii="仿宋" w:hAnsi="仿宋" w:eastAsia="仿宋" w:cs="Times New Roman"/>
                <w:szCs w:val="21"/>
              </w:rPr>
              <w:t>28</w:t>
            </w:r>
            <w:r>
              <w:rPr>
                <w:rFonts w:hint="eastAsia" w:ascii="仿宋" w:hAnsi="仿宋" w:eastAsia="仿宋" w:cs="Times New Roman"/>
                <w:szCs w:val="21"/>
              </w:rPr>
              <w:t>~</w:t>
            </w:r>
            <w:r>
              <w:rPr>
                <w:rFonts w:ascii="仿宋" w:hAnsi="仿宋" w:eastAsia="仿宋" w:cs="Times New Roman"/>
                <w:szCs w:val="21"/>
              </w:rPr>
              <w:t>30</w:t>
            </w:r>
          </w:p>
        </w:tc>
        <w:tc>
          <w:tcPr>
            <w:tcW w:w="477"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rPr>
              <w:t>陪同人</w:t>
            </w:r>
          </w:p>
        </w:tc>
        <w:tc>
          <w:tcPr>
            <w:tcW w:w="509" w:type="pct"/>
            <w:tcBorders>
              <w:top w:val="single" w:color="auto" w:sz="4" w:space="0"/>
              <w:left w:val="single" w:color="auto" w:sz="4" w:space="0"/>
              <w:bottom w:val="single" w:color="auto" w:sz="4" w:space="0"/>
            </w:tcBorders>
            <w:vAlign w:val="center"/>
          </w:tcPr>
          <w:p>
            <w:pPr>
              <w:spacing w:line="340" w:lineRule="exact"/>
              <w:jc w:val="center"/>
              <w:rPr>
                <w:rFonts w:ascii="仿宋" w:hAnsi="仿宋" w:eastAsia="仿宋" w:cs="Times New Roman"/>
                <w:szCs w:val="21"/>
              </w:rPr>
            </w:pPr>
            <w:r>
              <w:rPr>
                <w:rFonts w:hint="eastAsia" w:ascii="仿宋" w:hAnsi="仿宋" w:eastAsia="仿宋" w:cs="Times New Roman"/>
                <w:szCs w:val="21"/>
                <w:lang w:val="en-US" w:eastAsia="zh-CN"/>
              </w:rPr>
              <w:t>张先生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建设项目存在的主要职业病危害因素及检测结果：</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该项目可识别的职业病危害因素包括：甲苯、环己烷、乙酸乙酯、乙酸丁酯、丙酮、异丙醇、正己烷、甲基环己烷、正庚烷、辛烷、氢氧化钠、氮氧化合物、臭氧、其他粉尘（纸）、铝尘、工频电磁场、激光。</w:t>
            </w:r>
          </w:p>
          <w:p>
            <w:pPr>
              <w:spacing w:line="320" w:lineRule="exact"/>
              <w:ind w:firstLine="420" w:firstLineChars="200"/>
              <w:jc w:val="left"/>
              <w:rPr>
                <w:rFonts w:hint="eastAsia" w:ascii="仿宋" w:hAnsi="仿宋" w:eastAsia="仿宋" w:cs="Times New Roman"/>
                <w:szCs w:val="21"/>
                <w:lang w:val="en-US" w:eastAsia="zh-CN"/>
              </w:rPr>
            </w:pPr>
            <w:r>
              <w:rPr>
                <w:rFonts w:hint="eastAsia" w:ascii="仿宋" w:hAnsi="仿宋" w:eastAsia="仿宋" w:cs="Times New Roman"/>
                <w:szCs w:val="21"/>
                <w:lang w:val="en-US" w:eastAsia="zh-CN"/>
              </w:rPr>
              <w:t>通过结合调查情况和现场检查结果综合分析，本项目正常生产过程中最终实际接触的职业病危害因素有：甲苯。</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lang w:val="en-US" w:eastAsia="zh-CN"/>
              </w:rPr>
              <w:t>所检职业病危害因素均低于接触限值。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评价结论与建议：</w:t>
            </w:r>
          </w:p>
          <w:p>
            <w:pPr>
              <w:spacing w:line="320" w:lineRule="exact"/>
              <w:ind w:firstLine="420" w:firstLineChars="200"/>
              <w:jc w:val="left"/>
              <w:rPr>
                <w:rFonts w:ascii="仿宋" w:hAnsi="仿宋" w:eastAsia="仿宋" w:cs="Times New Roman"/>
                <w:szCs w:val="21"/>
              </w:rPr>
            </w:pPr>
            <w:r>
              <w:rPr>
                <w:rFonts w:ascii="仿宋" w:hAnsi="仿宋" w:eastAsia="仿宋" w:cs="Times New Roman"/>
                <w:szCs w:val="21"/>
              </w:rPr>
              <w:t>结论</w:t>
            </w:r>
            <w:r>
              <w:rPr>
                <w:rFonts w:hint="eastAsia" w:ascii="仿宋" w:hAnsi="仿宋" w:eastAsia="仿宋" w:cs="Times New Roman"/>
                <w:szCs w:val="21"/>
              </w:rPr>
              <w:t>：本建设项目试运行期间职业病防护满足国家和地方对职业病防治方面的法律、法规、标准的要求。在正常生产过程中，采取了控制效果评价报告所提对策措施和建议的情况下，符合国家和地方对职业病防治方面法律、法规、标准的要求。因此，该项目能够满足竣工验收条件。</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rPr>
              <w:t>建议：</w:t>
            </w:r>
            <w:r>
              <w:rPr>
                <w:rFonts w:hint="eastAsia" w:ascii="仿宋" w:hAnsi="仿宋" w:eastAsia="仿宋" w:cs="Times New Roman"/>
                <w:szCs w:val="21"/>
                <w:lang w:val="en-US" w:eastAsia="zh-CN"/>
              </w:rPr>
              <w:t>1）建议该公司在生产车间增设洗眼器，并保证其使用距离小于15m；建议该公司针对化学品泄漏等进行相应的演练，并保存相应的演练记录。2）建议该公司为会进入生产车间作业的人员配发可防有机气体、蒸汽的活性炭口罩；建议该公司职业卫生管理人员、车间主管在日常管理工作中加强对员工职业病防护用品佩戴情况监督。3）建议该公司今后按照《用人单位职业健康监护监督管理办法》（原国家安全生产监督管理总局令第49号）、《职业健康监护技术规范》（GBZ188-2014）的要求，同时根据资料性附件表11.2-2、表11.2-4及检测报告，安排各车间所有接触的职业病危害因素的员工进行相对应的上岗前、在岗期间、离岗时的职业健康检查，并完善职业卫生管理档案。4）建议该公司建立相应的委外人员管理制度，确保劳务派遣公司根据相关人员所接触到的职业病危害因素情况，进行相应的职业健康检查。5）建议该公司将分切、回绕、打码、QC岗位与印刷区隔开布置，从而减少印刷区作业过程中产生的生产性毒物对周围岗位的影响。6）建议该公司针对可能产生生产性毒物的岗位增设“甲苯”、“注意通风”、“必须佩戴防毒口罩”等的警示标识和告知卡。7）建议该公司主要负责人、职业卫生管理人员尽快完成相关的职业卫生培训，并取得培训证书。</w:t>
            </w:r>
            <w:bookmarkStart w:id="0" w:name="_GoBack"/>
            <w:bookmarkEnd w:id="0"/>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jc w:val="center"/>
        </w:trPr>
        <w:tc>
          <w:tcPr>
            <w:tcW w:w="5000" w:type="pct"/>
            <w:gridSpan w:val="6"/>
            <w:tcBorders>
              <w:top w:val="single" w:color="auto" w:sz="4" w:space="0"/>
              <w:bottom w:val="single" w:color="auto" w:sz="4" w:space="0"/>
            </w:tcBorders>
          </w:tcPr>
          <w:p>
            <w:pPr>
              <w:spacing w:line="320" w:lineRule="exact"/>
              <w:jc w:val="left"/>
              <w:rPr>
                <w:rFonts w:ascii="仿宋" w:hAnsi="仿宋" w:eastAsia="仿宋" w:cs="Times New Roman"/>
                <w:szCs w:val="21"/>
              </w:rPr>
            </w:pPr>
            <w:r>
              <w:rPr>
                <w:rFonts w:hint="eastAsia" w:ascii="仿宋" w:hAnsi="仿宋" w:eastAsia="仿宋" w:cs="Times New Roman"/>
                <w:szCs w:val="21"/>
              </w:rPr>
              <w:t>技术审查专家组评审意见：</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rPr>
              <w:t>1）</w:t>
            </w:r>
            <w:r>
              <w:rPr>
                <w:rFonts w:hint="eastAsia" w:ascii="仿宋" w:hAnsi="仿宋" w:eastAsia="仿宋" w:cs="Times New Roman"/>
                <w:szCs w:val="21"/>
                <w:lang w:val="en-US" w:eastAsia="zh-CN"/>
              </w:rPr>
              <w:t>进一步细化原辅材料的分析</w:t>
            </w:r>
            <w:r>
              <w:rPr>
                <w:rFonts w:hint="eastAsia" w:ascii="仿宋" w:hAnsi="仿宋" w:eastAsia="仿宋" w:cs="Times New Roman"/>
                <w:szCs w:val="21"/>
              </w:rPr>
              <w:t>；</w:t>
            </w:r>
            <w:r>
              <w:rPr>
                <w:rFonts w:hint="eastAsia" w:ascii="仿宋" w:hAnsi="仿宋" w:eastAsia="仿宋" w:cs="Times New Roman"/>
                <w:szCs w:val="21"/>
                <w:lang w:val="en-US" w:eastAsia="zh-CN"/>
              </w:rPr>
              <w:t>2）完善丝网清洗和制版间的职业病危害分析和评价；3</w:t>
            </w:r>
            <w:r>
              <w:rPr>
                <w:rFonts w:hint="eastAsia" w:ascii="仿宋" w:hAnsi="仿宋" w:eastAsia="仿宋" w:cs="Times New Roman"/>
                <w:szCs w:val="21"/>
              </w:rPr>
              <w:t>）</w:t>
            </w:r>
            <w:r>
              <w:rPr>
                <w:rFonts w:hint="eastAsia" w:ascii="仿宋" w:hAnsi="仿宋" w:eastAsia="仿宋" w:cs="Times New Roman"/>
                <w:szCs w:val="21"/>
                <w:lang w:val="en-US" w:eastAsia="zh-CN"/>
              </w:rPr>
              <w:t>进一步完善柔印和制版职业病防护设施合理性和有限性分析和评价；4）</w:t>
            </w:r>
            <w:r>
              <w:rPr>
                <w:rFonts w:hint="eastAsia" w:ascii="仿宋" w:hAnsi="仿宋" w:eastAsia="仿宋" w:cs="Times New Roman"/>
                <w:szCs w:val="21"/>
              </w:rPr>
              <w:t>专家提出的其他个人意见。</w:t>
            </w:r>
          </w:p>
          <w:p>
            <w:pPr>
              <w:spacing w:line="320" w:lineRule="exact"/>
              <w:ind w:firstLine="420" w:firstLineChars="200"/>
              <w:jc w:val="left"/>
              <w:rPr>
                <w:rFonts w:ascii="仿宋" w:hAnsi="仿宋" w:eastAsia="仿宋" w:cs="Times New Roman"/>
                <w:szCs w:val="21"/>
              </w:rPr>
            </w:pPr>
            <w:r>
              <w:rPr>
                <w:rFonts w:hint="eastAsia" w:ascii="仿宋" w:hAnsi="仿宋" w:eastAsia="仿宋" w:cs="Times New Roman"/>
                <w:szCs w:val="21"/>
              </w:rPr>
              <w:t>专家组同意修改后通过《控制效果评价报告》，修改后的《控制效果评价报告》须经专家组长确认。</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MWQ2MDk4ZDU3OTQ0NGFmZTc1MDIyODUyMDQ1YWYifQ=="/>
  </w:docVars>
  <w:rsids>
    <w:rsidRoot w:val="002D5244"/>
    <w:rsid w:val="00051C70"/>
    <w:rsid w:val="000B6908"/>
    <w:rsid w:val="000F661D"/>
    <w:rsid w:val="002D5244"/>
    <w:rsid w:val="00355A35"/>
    <w:rsid w:val="003E27EE"/>
    <w:rsid w:val="003F0872"/>
    <w:rsid w:val="004B6752"/>
    <w:rsid w:val="00531B8B"/>
    <w:rsid w:val="005B6422"/>
    <w:rsid w:val="005C5F7A"/>
    <w:rsid w:val="00947E62"/>
    <w:rsid w:val="00A01BF0"/>
    <w:rsid w:val="00BA7CA7"/>
    <w:rsid w:val="00CF1EFE"/>
    <w:rsid w:val="00D86716"/>
    <w:rsid w:val="00E04A58"/>
    <w:rsid w:val="00E348AE"/>
    <w:rsid w:val="00E6761E"/>
    <w:rsid w:val="00EC7B75"/>
    <w:rsid w:val="00F26B48"/>
    <w:rsid w:val="038408F7"/>
    <w:rsid w:val="09297649"/>
    <w:rsid w:val="097371DC"/>
    <w:rsid w:val="0A6C6CBE"/>
    <w:rsid w:val="0C25691C"/>
    <w:rsid w:val="0D1A5D55"/>
    <w:rsid w:val="0D9F589A"/>
    <w:rsid w:val="0F5A59EB"/>
    <w:rsid w:val="10ED3781"/>
    <w:rsid w:val="111A69C5"/>
    <w:rsid w:val="117660B3"/>
    <w:rsid w:val="11C96400"/>
    <w:rsid w:val="125E728B"/>
    <w:rsid w:val="149A1346"/>
    <w:rsid w:val="153C270C"/>
    <w:rsid w:val="153F699F"/>
    <w:rsid w:val="18643D3F"/>
    <w:rsid w:val="1AE974BB"/>
    <w:rsid w:val="1B0353F5"/>
    <w:rsid w:val="1BA77ADC"/>
    <w:rsid w:val="1C2D0D45"/>
    <w:rsid w:val="1D655E72"/>
    <w:rsid w:val="1D894E19"/>
    <w:rsid w:val="1F8B3B8B"/>
    <w:rsid w:val="235749A6"/>
    <w:rsid w:val="264233C0"/>
    <w:rsid w:val="26AA663B"/>
    <w:rsid w:val="27F751B9"/>
    <w:rsid w:val="2C9662B4"/>
    <w:rsid w:val="2CE83322"/>
    <w:rsid w:val="2D362271"/>
    <w:rsid w:val="2E8A6E88"/>
    <w:rsid w:val="2EC102CF"/>
    <w:rsid w:val="3019150F"/>
    <w:rsid w:val="32BF7DFB"/>
    <w:rsid w:val="35511A47"/>
    <w:rsid w:val="356C7D94"/>
    <w:rsid w:val="36056CF3"/>
    <w:rsid w:val="37343A5F"/>
    <w:rsid w:val="39C11183"/>
    <w:rsid w:val="3CCD6FA5"/>
    <w:rsid w:val="3D2752D5"/>
    <w:rsid w:val="3D5207AE"/>
    <w:rsid w:val="3F87786E"/>
    <w:rsid w:val="40884444"/>
    <w:rsid w:val="40C65ACB"/>
    <w:rsid w:val="40DB376D"/>
    <w:rsid w:val="41FA1D1A"/>
    <w:rsid w:val="42E52372"/>
    <w:rsid w:val="43AA78B4"/>
    <w:rsid w:val="43B55ADA"/>
    <w:rsid w:val="464168ED"/>
    <w:rsid w:val="470141D4"/>
    <w:rsid w:val="48413B21"/>
    <w:rsid w:val="4B901E38"/>
    <w:rsid w:val="4BCF2B77"/>
    <w:rsid w:val="4C153B45"/>
    <w:rsid w:val="4EF1188A"/>
    <w:rsid w:val="52545B77"/>
    <w:rsid w:val="5677342B"/>
    <w:rsid w:val="57F563A3"/>
    <w:rsid w:val="58BA59F2"/>
    <w:rsid w:val="58D84D64"/>
    <w:rsid w:val="598712B7"/>
    <w:rsid w:val="5A6C6884"/>
    <w:rsid w:val="5AF32055"/>
    <w:rsid w:val="5AF80E2D"/>
    <w:rsid w:val="5BF34CF4"/>
    <w:rsid w:val="5C972C81"/>
    <w:rsid w:val="62CF061A"/>
    <w:rsid w:val="6346377C"/>
    <w:rsid w:val="64CE2C89"/>
    <w:rsid w:val="64FA69CA"/>
    <w:rsid w:val="654A6052"/>
    <w:rsid w:val="658A7316"/>
    <w:rsid w:val="674F5001"/>
    <w:rsid w:val="697C2783"/>
    <w:rsid w:val="6A24046B"/>
    <w:rsid w:val="6BEE0F72"/>
    <w:rsid w:val="6C0522FA"/>
    <w:rsid w:val="6CF7283B"/>
    <w:rsid w:val="6F40631D"/>
    <w:rsid w:val="70BF1417"/>
    <w:rsid w:val="72634067"/>
    <w:rsid w:val="741037BE"/>
    <w:rsid w:val="74AC17DB"/>
    <w:rsid w:val="74C83AAD"/>
    <w:rsid w:val="78611430"/>
    <w:rsid w:val="7A3F4800"/>
    <w:rsid w:val="7F9507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qFormat/>
    <w:uiPriority w:val="9"/>
    <w:pPr>
      <w:keepNext/>
      <w:keepLines/>
      <w:ind w:firstLine="0" w:firstLineChars="0"/>
      <w:jc w:val="left"/>
      <w:outlineLvl w:val="0"/>
    </w:pPr>
    <w:rPr>
      <w:b/>
      <w:bCs/>
      <w:kern w:val="44"/>
      <w:sz w:val="30"/>
      <w:szCs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styleId="4">
    <w:name w:val="Body Text First Indent"/>
    <w:basedOn w:val="5"/>
    <w:qFormat/>
    <w:uiPriority w:val="0"/>
    <w:pPr>
      <w:ind w:firstLine="420" w:firstLineChars="100"/>
    </w:pPr>
    <w:rPr>
      <w:rFonts w:ascii="Times New Roman" w:eastAsia="宋体"/>
      <w:szCs w:val="20"/>
    </w:rPr>
  </w:style>
  <w:style w:type="paragraph" w:styleId="5">
    <w:name w:val="Body Text"/>
    <w:basedOn w:val="1"/>
    <w:next w:val="1"/>
    <w:unhideWhenUsed/>
    <w:uiPriority w:val="0"/>
    <w:pPr>
      <w:spacing w:after="120"/>
    </w:pPr>
    <w:rPr>
      <w:kern w:val="0"/>
      <w:sz w:val="20"/>
    </w:rPr>
  </w:style>
  <w:style w:type="paragraph" w:styleId="7">
    <w:name w:val="annotation text"/>
    <w:basedOn w:val="1"/>
    <w:link w:val="20"/>
    <w:semiHidden/>
    <w:unhideWhenUsed/>
    <w:qFormat/>
    <w:uiPriority w:val="99"/>
    <w:pPr>
      <w:jc w:val="left"/>
    </w:pPr>
  </w:style>
  <w:style w:type="paragraph" w:styleId="8">
    <w:name w:val="Balloon Text"/>
    <w:basedOn w:val="1"/>
    <w:link w:val="22"/>
    <w:semiHidden/>
    <w:unhideWhenUsed/>
    <w:qFormat/>
    <w:uiPriority w:val="99"/>
    <w:rPr>
      <w:sz w:val="18"/>
      <w:szCs w:val="18"/>
    </w:rPr>
  </w:style>
  <w:style w:type="paragraph" w:styleId="9">
    <w:name w:val="footer"/>
    <w:basedOn w:val="1"/>
    <w:link w:val="16"/>
    <w:semiHidden/>
    <w:unhideWhenUsed/>
    <w:qFormat/>
    <w:uiPriority w:val="99"/>
    <w:pPr>
      <w:tabs>
        <w:tab w:val="center" w:pos="4153"/>
        <w:tab w:val="right" w:pos="8306"/>
      </w:tabs>
      <w:snapToGrid w:val="0"/>
      <w:jc w:val="left"/>
    </w:pPr>
    <w:rPr>
      <w:sz w:val="18"/>
      <w:szCs w:val="18"/>
    </w:rPr>
  </w:style>
  <w:style w:type="paragraph" w:styleId="10">
    <w:name w:val="header"/>
    <w:basedOn w:val="1"/>
    <w:link w:val="15"/>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annotation subject"/>
    <w:basedOn w:val="7"/>
    <w:next w:val="7"/>
    <w:link w:val="21"/>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页眉 Char"/>
    <w:basedOn w:val="13"/>
    <w:link w:val="10"/>
    <w:semiHidden/>
    <w:qFormat/>
    <w:uiPriority w:val="99"/>
    <w:rPr>
      <w:sz w:val="18"/>
      <w:szCs w:val="18"/>
    </w:rPr>
  </w:style>
  <w:style w:type="character" w:customStyle="1" w:styleId="16">
    <w:name w:val="页脚 Char"/>
    <w:basedOn w:val="13"/>
    <w:link w:val="9"/>
    <w:semiHidden/>
    <w:qFormat/>
    <w:uiPriority w:val="99"/>
    <w:rPr>
      <w:sz w:val="18"/>
      <w:szCs w:val="18"/>
    </w:rPr>
  </w:style>
  <w:style w:type="character" w:customStyle="1" w:styleId="17">
    <w:name w:val="排版正文 Char Char"/>
    <w:link w:val="18"/>
    <w:qFormat/>
    <w:locked/>
    <w:uiPriority w:val="0"/>
    <w:rPr>
      <w:rFonts w:ascii="仿宋_GB2312" w:hAnsi="Times New Roman" w:eastAsia="仿宋_GB2312"/>
      <w:spacing w:val="8"/>
      <w:sz w:val="28"/>
      <w:szCs w:val="21"/>
    </w:rPr>
  </w:style>
  <w:style w:type="paragraph" w:customStyle="1" w:styleId="18">
    <w:name w:val="排版正文"/>
    <w:link w:val="17"/>
    <w:qFormat/>
    <w:uiPriority w:val="0"/>
    <w:pPr>
      <w:widowControl w:val="0"/>
      <w:spacing w:line="460" w:lineRule="exact"/>
      <w:ind w:firstLine="200" w:firstLineChars="200"/>
      <w:jc w:val="both"/>
    </w:pPr>
    <w:rPr>
      <w:rFonts w:ascii="仿宋_GB2312" w:hAnsi="Times New Roman" w:eastAsia="仿宋_GB2312" w:cstheme="minorBidi"/>
      <w:spacing w:val="8"/>
      <w:kern w:val="2"/>
      <w:sz w:val="28"/>
      <w:szCs w:val="21"/>
      <w:lang w:val="en-US" w:eastAsia="zh-CN" w:bidi="ar-SA"/>
    </w:rPr>
  </w:style>
  <w:style w:type="paragraph" w:styleId="19">
    <w:name w:val="List Paragraph"/>
    <w:basedOn w:val="1"/>
    <w:qFormat/>
    <w:uiPriority w:val="34"/>
    <w:pPr>
      <w:ind w:firstLine="420" w:firstLineChars="200"/>
    </w:pPr>
  </w:style>
  <w:style w:type="character" w:customStyle="1" w:styleId="20">
    <w:name w:val="批注文字 Char"/>
    <w:basedOn w:val="13"/>
    <w:link w:val="7"/>
    <w:semiHidden/>
    <w:qFormat/>
    <w:uiPriority w:val="99"/>
  </w:style>
  <w:style w:type="character" w:customStyle="1" w:styleId="21">
    <w:name w:val="批注主题 Char"/>
    <w:basedOn w:val="20"/>
    <w:link w:val="11"/>
    <w:semiHidden/>
    <w:qFormat/>
    <w:uiPriority w:val="99"/>
    <w:rPr>
      <w:b/>
      <w:bCs/>
    </w:rPr>
  </w:style>
  <w:style w:type="character" w:customStyle="1" w:styleId="22">
    <w:name w:val="批注框文本 Char"/>
    <w:basedOn w:val="13"/>
    <w:link w:val="8"/>
    <w:semiHidden/>
    <w:qFormat/>
    <w:uiPriority w:val="99"/>
    <w:rPr>
      <w:sz w:val="18"/>
      <w:szCs w:val="18"/>
    </w:rPr>
  </w:style>
  <w:style w:type="character" w:customStyle="1" w:styleId="23">
    <w:name w:val="正文 Char"/>
    <w:basedOn w:val="13"/>
    <w:link w:val="24"/>
    <w:qFormat/>
    <w:uiPriority w:val="0"/>
    <w:rPr>
      <w:rFonts w:cs="Times New Roman"/>
    </w:rPr>
  </w:style>
  <w:style w:type="paragraph" w:customStyle="1" w:styleId="24">
    <w:name w:val="正文1"/>
    <w:basedOn w:val="1"/>
    <w:link w:val="23"/>
    <w:qFormat/>
    <w:uiPriority w:val="0"/>
    <w:pPr>
      <w:ind w:firstLine="560"/>
    </w:pPr>
    <w:rPr>
      <w:rFonts w:cs="Times New Roman"/>
    </w:rPr>
  </w:style>
  <w:style w:type="paragraph" w:customStyle="1" w:styleId="25">
    <w:name w:val="wzw"/>
    <w:basedOn w:val="1"/>
    <w:qFormat/>
    <w:uiPriority w:val="0"/>
    <w:pPr>
      <w:widowControl/>
      <w:spacing w:line="490" w:lineRule="exact"/>
      <w:ind w:firstLine="561"/>
      <w:jc w:val="left"/>
    </w:pPr>
    <w:rPr>
      <w:rFonts w:ascii="Times New Roman"/>
      <w:bCs/>
      <w:color w:val="0070C0"/>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42FA1-6755-45A5-813D-6142C09CF23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196</Words>
  <Characters>1123</Characters>
  <Lines>9</Lines>
  <Paragraphs>2</Paragraphs>
  <TotalTime>0</TotalTime>
  <ScaleCrop>false</ScaleCrop>
  <LinksUpToDate>false</LinksUpToDate>
  <CharactersWithSpaces>1317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2020-04-20T06:47:00Z</dcterms:created>
  <dc:creator>微软用户</dc:creator>
  <cp:lastModifiedBy>丁伦</cp:lastModifiedBy>
  <dcterms:modified xsi:type="dcterms:W3CDTF">2023-05-09T06:16:30Z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AA43A60CEDF4406DB74EB5DCF712EDB5_12</vt:lpwstr>
  </property>
</Properties>
</file>