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2"/>
        <w:tblW w:w="522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713"/>
        <w:gridCol w:w="2551"/>
        <w:gridCol w:w="1276"/>
        <w:gridCol w:w="1609"/>
        <w:gridCol w:w="849"/>
        <w:gridCol w:w="89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963" w:type="pct"/>
            <w:tcBorders>
              <w:top w:val="single" w:color="auto" w:sz="4" w:space="0"/>
              <w:bottom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用人单位</w:t>
            </w:r>
          </w:p>
        </w:tc>
        <w:tc>
          <w:tcPr>
            <w:tcW w:w="4037" w:type="pct"/>
            <w:gridSpan w:val="5"/>
            <w:tcBorders>
              <w:top w:val="single" w:color="auto" w:sz="4" w:space="0"/>
              <w:left w:val="single" w:color="auto" w:sz="4" w:space="0"/>
              <w:bottom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茂名市电白油脂化工有限公司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63" w:type="pct"/>
            <w:tcBorders>
              <w:top w:val="single" w:color="auto" w:sz="4" w:space="0"/>
              <w:bottom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单位</w:t>
            </w:r>
            <w:r>
              <w:rPr>
                <w:rFonts w:ascii="仿宋" w:hAnsi="仿宋" w:eastAsia="仿宋" w:cs="Times New Roman"/>
                <w:szCs w:val="21"/>
              </w:rPr>
              <w:t>地址</w:t>
            </w:r>
          </w:p>
        </w:tc>
        <w:tc>
          <w:tcPr>
            <w:tcW w:w="4037" w:type="pct"/>
            <w:gridSpan w:val="5"/>
            <w:tcBorders>
              <w:top w:val="single" w:color="auto" w:sz="4" w:space="0"/>
              <w:left w:val="single" w:color="auto" w:sz="4" w:space="0"/>
              <w:bottom w:val="single" w:color="auto" w:sz="4" w:space="0"/>
            </w:tcBorders>
            <w:vAlign w:val="center"/>
          </w:tcPr>
          <w:p>
            <w:pPr>
              <w:spacing w:line="340" w:lineRule="exact"/>
              <w:jc w:val="center"/>
              <w:rPr>
                <w:rFonts w:ascii="仿宋" w:hAnsi="仿宋" w:eastAsia="仿宋" w:cs="Times New Roman"/>
                <w:szCs w:val="21"/>
              </w:rPr>
            </w:pPr>
            <w:r>
              <w:rPr>
                <w:rFonts w:ascii="仿宋" w:hAnsi="仿宋" w:eastAsia="仿宋" w:cs="Times New Roman"/>
                <w:szCs w:val="21"/>
              </w:rPr>
              <w:t>广东省茂名市电白区高新区西南片区二号路286号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63" w:type="pct"/>
            <w:tcBorders>
              <w:top w:val="single" w:color="auto" w:sz="4" w:space="0"/>
              <w:bottom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单位联系人</w:t>
            </w:r>
          </w:p>
        </w:tc>
        <w:tc>
          <w:tcPr>
            <w:tcW w:w="4037" w:type="pct"/>
            <w:gridSpan w:val="5"/>
            <w:tcBorders>
              <w:top w:val="single" w:color="auto" w:sz="4" w:space="0"/>
              <w:left w:val="single" w:color="auto" w:sz="4" w:space="0"/>
              <w:bottom w:val="single" w:color="auto" w:sz="4" w:space="0"/>
            </w:tcBorders>
            <w:vAlign w:val="center"/>
          </w:tcPr>
          <w:p>
            <w:pPr>
              <w:spacing w:line="340" w:lineRule="exact"/>
              <w:jc w:val="center"/>
              <w:rPr>
                <w:rFonts w:hint="default" w:ascii="仿宋" w:hAnsi="仿宋" w:eastAsia="仿宋" w:cs="Times New Roman"/>
                <w:szCs w:val="21"/>
                <w:lang w:val="en-US" w:eastAsia="zh-CN"/>
              </w:rPr>
            </w:pPr>
            <w:r>
              <w:rPr>
                <w:rFonts w:hint="default" w:ascii="仿宋" w:hAnsi="仿宋" w:eastAsia="仿宋" w:cs="Times New Roman"/>
                <w:szCs w:val="21"/>
                <w:lang w:val="en-US" w:eastAsia="zh-CN"/>
              </w:rPr>
              <w:t>陈燕飞</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63" w:type="pct"/>
            <w:tcBorders>
              <w:top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公示信息类别</w:t>
            </w:r>
          </w:p>
        </w:tc>
        <w:tc>
          <w:tcPr>
            <w:tcW w:w="4037" w:type="pct"/>
            <w:gridSpan w:val="5"/>
            <w:tcBorders>
              <w:top w:val="single" w:color="auto" w:sz="4" w:space="0"/>
              <w:left w:val="single" w:color="auto" w:sz="4" w:space="0"/>
              <w:bottom w:val="single" w:color="auto" w:sz="4" w:space="0"/>
            </w:tcBorders>
            <w:vAlign w:val="center"/>
          </w:tcPr>
          <w:p>
            <w:pPr>
              <w:spacing w:line="340" w:lineRule="exact"/>
              <w:jc w:val="center"/>
              <w:rPr>
                <w:rFonts w:hint="eastAsia" w:ascii="仿宋" w:hAnsi="仿宋" w:eastAsia="仿宋" w:cs="Times New Roman"/>
                <w:szCs w:val="21"/>
                <w:lang w:eastAsia="zh-CN"/>
              </w:rPr>
            </w:pPr>
            <w:r>
              <w:rPr>
                <w:rFonts w:hint="eastAsia" w:ascii="仿宋" w:hAnsi="仿宋" w:eastAsia="仿宋" w:cs="Times New Roman"/>
                <w:szCs w:val="21"/>
                <w:lang w:eastAsia="zh-CN"/>
              </w:rPr>
              <w:t>职业病危害现状评价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63" w:type="pct"/>
            <w:tcBorders>
              <w:top w:val="single" w:color="auto" w:sz="4" w:space="0"/>
              <w:right w:val="single" w:color="auto" w:sz="4" w:space="0"/>
            </w:tcBorders>
            <w:vAlign w:val="center"/>
          </w:tcPr>
          <w:p>
            <w:pPr>
              <w:spacing w:line="340" w:lineRule="exact"/>
              <w:jc w:val="center"/>
              <w:rPr>
                <w:rFonts w:hint="eastAsia" w:ascii="仿宋" w:hAnsi="仿宋" w:eastAsia="仿宋" w:cs="Times New Roman"/>
                <w:szCs w:val="21"/>
                <w:lang w:eastAsia="zh-CN"/>
              </w:rPr>
            </w:pPr>
            <w:r>
              <w:rPr>
                <w:rFonts w:hint="eastAsia" w:ascii="仿宋" w:hAnsi="仿宋" w:eastAsia="仿宋" w:cs="Times New Roman"/>
                <w:szCs w:val="21"/>
                <w:lang w:eastAsia="zh-CN"/>
              </w:rPr>
              <w:t>项目简介</w:t>
            </w:r>
          </w:p>
        </w:tc>
        <w:tc>
          <w:tcPr>
            <w:tcW w:w="4037" w:type="pct"/>
            <w:gridSpan w:val="5"/>
            <w:tcBorders>
              <w:top w:val="single" w:color="auto" w:sz="4" w:space="0"/>
              <w:left w:val="single" w:color="auto" w:sz="4" w:space="0"/>
              <w:bottom w:val="single" w:color="auto" w:sz="4" w:space="0"/>
            </w:tcBorders>
            <w:vAlign w:val="center"/>
          </w:tcPr>
          <w:p>
            <w:pPr>
              <w:spacing w:line="340" w:lineRule="exact"/>
              <w:ind w:firstLine="420" w:firstLineChars="200"/>
              <w:jc w:val="left"/>
              <w:rPr>
                <w:rFonts w:hint="eastAsia" w:ascii="仿宋" w:hAnsi="仿宋" w:eastAsia="仿宋" w:cs="Times New Roman"/>
                <w:szCs w:val="21"/>
                <w:lang w:eastAsia="zh-CN"/>
              </w:rPr>
            </w:pPr>
            <w:r>
              <w:rPr>
                <w:rFonts w:hint="eastAsia" w:ascii="仿宋" w:hAnsi="仿宋" w:eastAsia="仿宋" w:cs="Times New Roman"/>
                <w:szCs w:val="21"/>
              </w:rPr>
              <w:t>茂名市电白油脂化工有限公司</w:t>
            </w:r>
            <w:r>
              <w:rPr>
                <w:rFonts w:hint="eastAsia" w:ascii="仿宋" w:hAnsi="仿宋" w:eastAsia="仿宋" w:cs="Times New Roman"/>
                <w:szCs w:val="21"/>
                <w:lang w:val="en-US" w:eastAsia="zh-CN"/>
              </w:rPr>
              <w:t>属于有限责任公司（自然人投资或控股），统一社会信用代码：91440904195184136W。该公司现有厂区占地面积约30210.6m2，主要是对原料油（凝析油）、混合煤油、燃料油、混合芳烃四种原材料进行蒸馏切割，生产石脑油、溶剂油、混合芳烃、凝析油、高沸点芳烃溶剂油等产品，现阶段处理能力为15万吨/年，现有员工62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63" w:type="pct"/>
            <w:tcBorders>
              <w:top w:val="single" w:color="auto" w:sz="4" w:space="0"/>
              <w:right w:val="single" w:color="auto" w:sz="4" w:space="0"/>
            </w:tcBorders>
            <w:vAlign w:val="center"/>
          </w:tcPr>
          <w:p>
            <w:pPr>
              <w:spacing w:line="340" w:lineRule="exact"/>
              <w:jc w:val="center"/>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现场调查人员</w:t>
            </w:r>
          </w:p>
        </w:tc>
        <w:tc>
          <w:tcPr>
            <w:tcW w:w="1434" w:type="pct"/>
            <w:tcBorders>
              <w:top w:val="single" w:color="auto" w:sz="4" w:space="0"/>
              <w:left w:val="single" w:color="auto" w:sz="4" w:space="0"/>
              <w:bottom w:val="single" w:color="auto" w:sz="4" w:space="0"/>
            </w:tcBorders>
            <w:vAlign w:val="center"/>
          </w:tcPr>
          <w:p>
            <w:pPr>
              <w:spacing w:line="340" w:lineRule="exact"/>
              <w:jc w:val="center"/>
              <w:rPr>
                <w:rFonts w:hint="default" w:ascii="仿宋" w:hAnsi="仿宋" w:eastAsia="仿宋" w:cs="Times New Roman"/>
                <w:szCs w:val="21"/>
                <w:lang w:val="en-US" w:eastAsia="zh-CN"/>
              </w:rPr>
            </w:pPr>
            <w:r>
              <w:rPr>
                <w:rFonts w:hint="eastAsia" w:ascii="仿宋" w:hAnsi="仿宋" w:eastAsia="仿宋" w:cs="Times New Roman"/>
                <w:szCs w:val="21"/>
                <w:lang w:val="en-US" w:eastAsia="zh-CN"/>
              </w:rPr>
              <w:t>游海、王其飞</w:t>
            </w:r>
          </w:p>
        </w:tc>
        <w:tc>
          <w:tcPr>
            <w:tcW w:w="717" w:type="pct"/>
            <w:tcBorders>
              <w:top w:val="single" w:color="auto" w:sz="4" w:space="0"/>
              <w:left w:val="single" w:color="auto" w:sz="4" w:space="0"/>
              <w:bottom w:val="single" w:color="auto" w:sz="4" w:space="0"/>
            </w:tcBorders>
            <w:vAlign w:val="center"/>
          </w:tcPr>
          <w:p>
            <w:pPr>
              <w:spacing w:line="340" w:lineRule="exact"/>
              <w:jc w:val="center"/>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调查时间</w:t>
            </w:r>
          </w:p>
        </w:tc>
        <w:tc>
          <w:tcPr>
            <w:tcW w:w="904" w:type="pct"/>
            <w:tcBorders>
              <w:top w:val="single" w:color="auto" w:sz="4" w:space="0"/>
              <w:left w:val="single" w:color="auto" w:sz="4" w:space="0"/>
              <w:bottom w:val="single" w:color="auto" w:sz="4" w:space="0"/>
            </w:tcBorders>
            <w:vAlign w:val="center"/>
          </w:tcPr>
          <w:p>
            <w:pPr>
              <w:spacing w:line="340" w:lineRule="exact"/>
              <w:jc w:val="center"/>
              <w:rPr>
                <w:rFonts w:hint="default" w:ascii="仿宋" w:hAnsi="仿宋" w:eastAsia="仿宋" w:cs="Times New Roman"/>
                <w:szCs w:val="21"/>
                <w:lang w:val="en-US" w:eastAsia="zh-CN"/>
              </w:rPr>
            </w:pPr>
            <w:r>
              <w:rPr>
                <w:rFonts w:hint="default" w:ascii="仿宋" w:hAnsi="仿宋" w:eastAsia="仿宋" w:cs="Times New Roman"/>
                <w:szCs w:val="21"/>
                <w:lang w:val="en-US" w:eastAsia="zh-CN"/>
              </w:rPr>
              <w:t>2022-08-01</w:t>
            </w:r>
          </w:p>
        </w:tc>
        <w:tc>
          <w:tcPr>
            <w:tcW w:w="477" w:type="pct"/>
            <w:tcBorders>
              <w:top w:val="single" w:color="auto" w:sz="4" w:space="0"/>
              <w:left w:val="single" w:color="auto" w:sz="4" w:space="0"/>
              <w:bottom w:val="single" w:color="auto" w:sz="4" w:space="0"/>
            </w:tcBorders>
            <w:vAlign w:val="center"/>
          </w:tcPr>
          <w:p>
            <w:pPr>
              <w:spacing w:line="340" w:lineRule="exact"/>
              <w:jc w:val="center"/>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陪同人</w:t>
            </w:r>
          </w:p>
        </w:tc>
        <w:tc>
          <w:tcPr>
            <w:tcW w:w="505" w:type="pct"/>
            <w:tcBorders>
              <w:top w:val="single" w:color="auto" w:sz="4" w:space="0"/>
              <w:left w:val="single" w:color="auto" w:sz="4" w:space="0"/>
              <w:bottom w:val="single" w:color="auto" w:sz="4" w:space="0"/>
            </w:tcBorders>
            <w:vAlign w:val="center"/>
          </w:tcPr>
          <w:p>
            <w:pPr>
              <w:spacing w:line="340" w:lineRule="exact"/>
              <w:jc w:val="center"/>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陈燕飞</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63" w:type="pct"/>
            <w:tcBorders>
              <w:top w:val="single" w:color="auto" w:sz="4" w:space="0"/>
              <w:right w:val="single" w:color="auto" w:sz="4" w:space="0"/>
            </w:tcBorders>
            <w:vAlign w:val="center"/>
          </w:tcPr>
          <w:p>
            <w:pPr>
              <w:spacing w:line="340" w:lineRule="exact"/>
              <w:jc w:val="center"/>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检测人员</w:t>
            </w:r>
          </w:p>
        </w:tc>
        <w:tc>
          <w:tcPr>
            <w:tcW w:w="1434" w:type="pct"/>
            <w:tcBorders>
              <w:top w:val="single" w:color="auto" w:sz="4" w:space="0"/>
              <w:left w:val="single" w:color="auto" w:sz="4" w:space="0"/>
              <w:bottom w:val="single" w:color="auto" w:sz="4" w:space="0"/>
            </w:tcBorders>
            <w:vAlign w:val="center"/>
          </w:tcPr>
          <w:p>
            <w:pPr>
              <w:spacing w:line="340" w:lineRule="exact"/>
              <w:jc w:val="center"/>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文明、赵文朋</w:t>
            </w:r>
          </w:p>
        </w:tc>
        <w:tc>
          <w:tcPr>
            <w:tcW w:w="717" w:type="pct"/>
            <w:tcBorders>
              <w:top w:val="single" w:color="auto" w:sz="4" w:space="0"/>
              <w:left w:val="single" w:color="auto" w:sz="4" w:space="0"/>
              <w:bottom w:val="single" w:color="auto" w:sz="4" w:space="0"/>
            </w:tcBorders>
            <w:vAlign w:val="center"/>
          </w:tcPr>
          <w:p>
            <w:pPr>
              <w:spacing w:line="340" w:lineRule="exact"/>
              <w:jc w:val="center"/>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检测时间</w:t>
            </w:r>
          </w:p>
        </w:tc>
        <w:tc>
          <w:tcPr>
            <w:tcW w:w="904" w:type="pct"/>
            <w:tcBorders>
              <w:top w:val="single" w:color="auto" w:sz="4" w:space="0"/>
              <w:left w:val="single" w:color="auto" w:sz="4" w:space="0"/>
              <w:bottom w:val="single" w:color="auto" w:sz="4" w:space="0"/>
            </w:tcBorders>
            <w:vAlign w:val="center"/>
          </w:tcPr>
          <w:p>
            <w:pPr>
              <w:spacing w:line="340" w:lineRule="exact"/>
              <w:jc w:val="center"/>
              <w:rPr>
                <w:rFonts w:hint="default" w:ascii="仿宋" w:hAnsi="仿宋" w:eastAsia="仿宋" w:cs="Times New Roman"/>
                <w:szCs w:val="21"/>
                <w:lang w:val="en-US" w:eastAsia="zh-CN"/>
              </w:rPr>
            </w:pPr>
            <w:r>
              <w:rPr>
                <w:rFonts w:hint="eastAsia" w:ascii="仿宋" w:hAnsi="仿宋" w:eastAsia="仿宋" w:cs="Times New Roman"/>
                <w:szCs w:val="21"/>
                <w:lang w:val="en-US" w:eastAsia="zh-CN"/>
              </w:rPr>
              <w:t>2022.8.8-10</w:t>
            </w:r>
          </w:p>
        </w:tc>
        <w:tc>
          <w:tcPr>
            <w:tcW w:w="477" w:type="pct"/>
            <w:tcBorders>
              <w:top w:val="single" w:color="auto" w:sz="4" w:space="0"/>
              <w:left w:val="single" w:color="auto" w:sz="4" w:space="0"/>
              <w:bottom w:val="single" w:color="auto" w:sz="4" w:space="0"/>
            </w:tcBorders>
            <w:vAlign w:val="center"/>
          </w:tcPr>
          <w:p>
            <w:pPr>
              <w:spacing w:line="340" w:lineRule="exact"/>
              <w:jc w:val="center"/>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陪同人</w:t>
            </w:r>
          </w:p>
        </w:tc>
        <w:tc>
          <w:tcPr>
            <w:tcW w:w="505" w:type="pct"/>
            <w:tcBorders>
              <w:top w:val="single" w:color="auto" w:sz="4" w:space="0"/>
              <w:left w:val="single" w:color="auto" w:sz="4" w:space="0"/>
              <w:bottom w:val="single" w:color="auto" w:sz="4" w:space="0"/>
            </w:tcBorders>
            <w:vAlign w:val="center"/>
          </w:tcPr>
          <w:p>
            <w:pPr>
              <w:spacing w:line="340" w:lineRule="exact"/>
              <w:jc w:val="center"/>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陈燕飞</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000" w:type="pct"/>
            <w:gridSpan w:val="6"/>
            <w:tcBorders>
              <w:top w:val="single" w:color="auto" w:sz="4" w:space="0"/>
              <w:bottom w:val="single" w:color="auto" w:sz="4" w:space="0"/>
            </w:tcBorders>
          </w:tcPr>
          <w:p>
            <w:pPr>
              <w:spacing w:line="340" w:lineRule="exact"/>
              <w:ind w:firstLine="420" w:firstLineChars="200"/>
              <w:jc w:val="left"/>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该公司主要的职业病危害因素包括：溶剂汽油、苯、甲苯、二甲苯、乙苯、正己烷、正庚烷、戊烷、环己烷、甲烷、丙烷、辛烷、高温（夏季）、电焊烟尘、锰及其化合物、氮氧化合物、臭氧、一氧化碳、柴油、噪声、紫外线、工频电磁场。</w:t>
            </w:r>
          </w:p>
          <w:p>
            <w:pPr>
              <w:spacing w:line="340" w:lineRule="exact"/>
              <w:jc w:val="left"/>
              <w:rPr>
                <w:rFonts w:hint="eastAsia" w:ascii="仿宋" w:hAnsi="仿宋" w:eastAsia="仿宋" w:cs="Times New Roman"/>
                <w:szCs w:val="21"/>
                <w:lang w:eastAsia="zh-CN"/>
              </w:rPr>
            </w:pPr>
            <w:r>
              <w:rPr>
                <w:rFonts w:hint="eastAsia" w:ascii="仿宋" w:hAnsi="仿宋" w:eastAsia="仿宋" w:cs="Times New Roman"/>
                <w:szCs w:val="21"/>
                <w:lang w:eastAsia="zh-CN"/>
              </w:rPr>
              <w:t>职业病危害因素检测结果：</w:t>
            </w:r>
          </w:p>
          <w:p>
            <w:pPr>
              <w:spacing w:line="340" w:lineRule="exact"/>
              <w:ind w:firstLine="420" w:firstLineChars="200"/>
              <w:jc w:val="left"/>
              <w:rPr>
                <w:rFonts w:hint="eastAsia" w:ascii="仿宋" w:hAnsi="仿宋" w:eastAsia="仿宋" w:cs="Times New Roman"/>
                <w:szCs w:val="21"/>
                <w:lang w:eastAsia="zh-CN"/>
              </w:rPr>
            </w:pPr>
            <w:r>
              <w:rPr>
                <w:rFonts w:hint="eastAsia" w:ascii="仿宋" w:hAnsi="仿宋" w:eastAsia="仿宋" w:cs="Times New Roman"/>
                <w:szCs w:val="21"/>
                <w:lang w:val="en-US" w:eastAsia="zh-CN"/>
              </w:rPr>
              <w:t>其他各岗位生产性毒物、噪声、高温、工频电场的检测结果均低于接触限值。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000" w:type="pct"/>
            <w:gridSpan w:val="6"/>
            <w:tcBorders>
              <w:top w:val="single" w:color="auto" w:sz="4" w:space="0"/>
              <w:bottom w:val="single" w:color="auto" w:sz="4" w:space="0"/>
            </w:tcBorders>
          </w:tcPr>
          <w:p>
            <w:pPr>
              <w:spacing w:line="340" w:lineRule="exact"/>
              <w:ind w:firstLine="420" w:firstLineChars="200"/>
              <w:jc w:val="left"/>
              <w:rPr>
                <w:rFonts w:hint="eastAsia" w:ascii="仿宋" w:hAnsi="仿宋" w:eastAsia="仿宋" w:cs="Times New Roman"/>
                <w:szCs w:val="21"/>
                <w:lang w:val="en-US" w:eastAsia="zh-CN"/>
              </w:rPr>
            </w:pPr>
            <w:r>
              <w:rPr>
                <w:rFonts w:hint="eastAsia" w:ascii="仿宋" w:hAnsi="仿宋" w:eastAsia="仿宋" w:cs="Times New Roman"/>
                <w:szCs w:val="21"/>
              </w:rPr>
              <w:t>评价</w:t>
            </w:r>
            <w:r>
              <w:rPr>
                <w:rFonts w:hint="eastAsia" w:ascii="仿宋" w:hAnsi="仿宋" w:eastAsia="仿宋" w:cs="Times New Roman"/>
                <w:szCs w:val="21"/>
                <w:lang w:val="en-US" w:eastAsia="zh-CN"/>
              </w:rPr>
              <w:t>结论与建议</w:t>
            </w:r>
          </w:p>
          <w:p>
            <w:pPr>
              <w:spacing w:line="340" w:lineRule="exact"/>
              <w:ind w:firstLine="420" w:firstLineChars="200"/>
              <w:jc w:val="left"/>
              <w:rPr>
                <w:rFonts w:hint="default" w:ascii="仿宋" w:hAnsi="仿宋" w:eastAsia="仿宋" w:cs="Times New Roman"/>
                <w:szCs w:val="21"/>
                <w:lang w:val="en-US" w:eastAsia="zh-CN"/>
              </w:rPr>
            </w:pPr>
            <w:r>
              <w:rPr>
                <w:rFonts w:hint="eastAsia" w:ascii="仿宋" w:hAnsi="仿宋" w:eastAsia="仿宋" w:cs="Times New Roman"/>
                <w:szCs w:val="21"/>
                <w:lang w:val="en-US" w:eastAsia="zh-CN"/>
              </w:rPr>
              <w:t>职业病危害风险分类：严重</w:t>
            </w:r>
          </w:p>
          <w:p>
            <w:pPr>
              <w:spacing w:line="340" w:lineRule="exact"/>
              <w:ind w:firstLine="420" w:firstLineChars="200"/>
              <w:jc w:val="left"/>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建议：</w:t>
            </w:r>
          </w:p>
          <w:p>
            <w:pPr>
              <w:spacing w:line="340" w:lineRule="exact"/>
              <w:ind w:firstLine="420" w:firstLineChars="200"/>
              <w:jc w:val="left"/>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1）建议该公司今后按照《用人单位职业健康监护监督管理办法》（原国家安全生产监督管理总局令第49号）、《职业健康监护技术规范》（GBZ188-2014）的要求，每年安排各车间所有接触职业病危害因素的员工进行相对应的上岗前、在岗期间、离岗时的职业健康检查，并妥善保管职业健康检查报告，完善职业卫生管理档案。各岗位具体检查项目参照本报告内容和《职业健康监护技术规范》（GBZ 188-2014）。</w:t>
            </w:r>
          </w:p>
          <w:p>
            <w:pPr>
              <w:spacing w:line="340" w:lineRule="exact"/>
              <w:ind w:firstLine="420" w:firstLineChars="200"/>
              <w:jc w:val="left"/>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2）建议该公司现场管理人员、职业卫生管理机构人员在日常管理工作中，加强对员工个人防护用品佩戴情况的监督，工作结束后增加对员工的职业卫生管理教育，加强其个人防护意识，保证接触生产性毒物的人员能够正确佩戴所配发的防毒口罩、防护手套等。</w:t>
            </w:r>
          </w:p>
          <w:p>
            <w:pPr>
              <w:spacing w:line="340" w:lineRule="exact"/>
              <w:ind w:firstLine="420" w:firstLineChars="200"/>
              <w:jc w:val="left"/>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3）建议该公司在可产生生产性毒物的岗位处设置“苯”“苯系物”“正己烷”“必须佩戴防毒口罩”等职业卫生告知卡及警示标识。</w:t>
            </w:r>
          </w:p>
          <w:p>
            <w:pPr>
              <w:spacing w:line="340" w:lineRule="exact"/>
              <w:ind w:firstLine="420" w:firstLineChars="200"/>
              <w:jc w:val="left"/>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4）建议该公司在本项目完成后，尽快完成职业病危害项目的网上申报工作。</w:t>
            </w:r>
          </w:p>
          <w:p>
            <w:pPr>
              <w:spacing w:line="340" w:lineRule="exact"/>
              <w:ind w:firstLine="420" w:firstLineChars="200"/>
              <w:jc w:val="left"/>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5）其他建议</w:t>
            </w:r>
          </w:p>
          <w:p>
            <w:pPr>
              <w:spacing w:line="340" w:lineRule="exact"/>
              <w:ind w:firstLine="420" w:firstLineChars="200"/>
              <w:jc w:val="left"/>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①建议该公司继续落实完善2019年度职业病危害控制效果评价评价报告中所提建议。</w:t>
            </w:r>
          </w:p>
          <w:p>
            <w:pPr>
              <w:spacing w:line="340" w:lineRule="exact"/>
              <w:ind w:firstLine="420" w:firstLineChars="200"/>
              <w:jc w:val="left"/>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②建议该公司在宣传栏上公告职业卫生管理制度、操作规程及职业卫生检测结果等内容。</w:t>
            </w:r>
          </w:p>
          <w:p>
            <w:pPr>
              <w:spacing w:line="340" w:lineRule="exact"/>
              <w:ind w:firstLine="420" w:firstLineChars="200"/>
              <w:jc w:val="left"/>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③建议该公司每半年对现场设置的职业卫生警示标识检查一次，发现有破损、变形、变色、图形符号脱落、亮度老化等影响使用的问题时及时进行修整和更换。</w:t>
            </w:r>
          </w:p>
          <w:p>
            <w:pPr>
              <w:spacing w:line="340" w:lineRule="exact"/>
              <w:ind w:firstLine="420" w:firstLineChars="200"/>
              <w:jc w:val="left"/>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④建议该公司按照《职业卫生档案管理规范》（原安监总厅安健〔2013〕171号）的要求，继续完善相关的职业卫生管理档案、职业病危害因素监测与检测评价档案，职业卫生宣传培训档案、用人单位职业健康监护管理档案和劳动者个人职业健康监护档案等内容。</w:t>
            </w:r>
          </w:p>
          <w:p>
            <w:pPr>
              <w:spacing w:line="340" w:lineRule="exact"/>
              <w:ind w:firstLine="420" w:firstLineChars="200"/>
              <w:jc w:val="left"/>
              <w:rPr>
                <w:rFonts w:hint="default" w:ascii="仿宋" w:hAnsi="仿宋" w:eastAsia="仿宋"/>
                <w:lang w:val="en-US" w:eastAsia="zh-CN"/>
              </w:rPr>
            </w:pPr>
            <w:r>
              <w:rPr>
                <w:rFonts w:hint="eastAsia" w:ascii="仿宋" w:hAnsi="仿宋" w:eastAsia="仿宋" w:cs="Times New Roman"/>
                <w:szCs w:val="21"/>
                <w:lang w:val="en-US" w:eastAsia="zh-CN"/>
              </w:rPr>
              <w:t>6）该公司职业病危害风险分类为“严重”，建议该公司按照《工作场所职业卫生管理规定》（中华人民共和国国家卫生健康委员会令第5号）的要求，委托具有相关资质的职业卫生技术服务机构对生产作业场所中所产生的各种职业病危害因素，每年开展一次职业病危害因素定期检测，每三年开展一次职业病危害现状评价。</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mE5MWQ2MDk4ZDU3OTQ0NGFmZTc1MDIyODUyMDQ1YWYifQ=="/>
  </w:docVars>
  <w:rsids>
    <w:rsidRoot w:val="002D5244"/>
    <w:rsid w:val="00051C70"/>
    <w:rsid w:val="000B168E"/>
    <w:rsid w:val="000D4C60"/>
    <w:rsid w:val="000F661D"/>
    <w:rsid w:val="00180ED4"/>
    <w:rsid w:val="002D2B6F"/>
    <w:rsid w:val="002D5244"/>
    <w:rsid w:val="0034231F"/>
    <w:rsid w:val="00355A35"/>
    <w:rsid w:val="003F0872"/>
    <w:rsid w:val="004B6752"/>
    <w:rsid w:val="00531B8B"/>
    <w:rsid w:val="005B6422"/>
    <w:rsid w:val="005C5F7A"/>
    <w:rsid w:val="00702B18"/>
    <w:rsid w:val="007F4BCD"/>
    <w:rsid w:val="00946DA3"/>
    <w:rsid w:val="00947E62"/>
    <w:rsid w:val="00996E59"/>
    <w:rsid w:val="009E2F87"/>
    <w:rsid w:val="00A01BF0"/>
    <w:rsid w:val="00B54B98"/>
    <w:rsid w:val="00D31C3C"/>
    <w:rsid w:val="00D86716"/>
    <w:rsid w:val="00DA711E"/>
    <w:rsid w:val="00DF0F69"/>
    <w:rsid w:val="00E04A58"/>
    <w:rsid w:val="00EB6037"/>
    <w:rsid w:val="00EC7B75"/>
    <w:rsid w:val="00FA4F11"/>
    <w:rsid w:val="01075579"/>
    <w:rsid w:val="01233096"/>
    <w:rsid w:val="022C2C17"/>
    <w:rsid w:val="03E91FCE"/>
    <w:rsid w:val="04363A1E"/>
    <w:rsid w:val="05594203"/>
    <w:rsid w:val="05C84116"/>
    <w:rsid w:val="05E337FC"/>
    <w:rsid w:val="085F7AA2"/>
    <w:rsid w:val="08744698"/>
    <w:rsid w:val="09214C02"/>
    <w:rsid w:val="093820FC"/>
    <w:rsid w:val="096D2D05"/>
    <w:rsid w:val="0983368B"/>
    <w:rsid w:val="0A0D4238"/>
    <w:rsid w:val="0A98139A"/>
    <w:rsid w:val="0AF3628F"/>
    <w:rsid w:val="0B35399D"/>
    <w:rsid w:val="0B7D2159"/>
    <w:rsid w:val="0C943AA2"/>
    <w:rsid w:val="0DFE5677"/>
    <w:rsid w:val="0E055229"/>
    <w:rsid w:val="0F3533E3"/>
    <w:rsid w:val="0FA83A21"/>
    <w:rsid w:val="0FD04F1D"/>
    <w:rsid w:val="112C7A85"/>
    <w:rsid w:val="118E6431"/>
    <w:rsid w:val="11BA35F1"/>
    <w:rsid w:val="11D131E6"/>
    <w:rsid w:val="123C4CE7"/>
    <w:rsid w:val="12772793"/>
    <w:rsid w:val="128A091B"/>
    <w:rsid w:val="13050ECF"/>
    <w:rsid w:val="1586775E"/>
    <w:rsid w:val="16655581"/>
    <w:rsid w:val="17932E87"/>
    <w:rsid w:val="184E1992"/>
    <w:rsid w:val="1A615541"/>
    <w:rsid w:val="1A8816B5"/>
    <w:rsid w:val="1AC4293F"/>
    <w:rsid w:val="1B3F462B"/>
    <w:rsid w:val="1C81326A"/>
    <w:rsid w:val="1E5D4AE2"/>
    <w:rsid w:val="22B71C55"/>
    <w:rsid w:val="22C32FEA"/>
    <w:rsid w:val="22E60FE0"/>
    <w:rsid w:val="22ED255B"/>
    <w:rsid w:val="234D2E21"/>
    <w:rsid w:val="24201B09"/>
    <w:rsid w:val="24BF02CB"/>
    <w:rsid w:val="24F444EE"/>
    <w:rsid w:val="257E5312"/>
    <w:rsid w:val="279F712B"/>
    <w:rsid w:val="28740979"/>
    <w:rsid w:val="2A413DAE"/>
    <w:rsid w:val="2A460333"/>
    <w:rsid w:val="2A566F28"/>
    <w:rsid w:val="2AF72B6B"/>
    <w:rsid w:val="2B810195"/>
    <w:rsid w:val="2BBB13C9"/>
    <w:rsid w:val="2DB674EC"/>
    <w:rsid w:val="2E9C5628"/>
    <w:rsid w:val="2FC91E74"/>
    <w:rsid w:val="2FCC56C2"/>
    <w:rsid w:val="30446B3E"/>
    <w:rsid w:val="31ED0CE4"/>
    <w:rsid w:val="32020A91"/>
    <w:rsid w:val="32034EF7"/>
    <w:rsid w:val="329F305B"/>
    <w:rsid w:val="32A80965"/>
    <w:rsid w:val="32EA744A"/>
    <w:rsid w:val="34B0573E"/>
    <w:rsid w:val="34C43209"/>
    <w:rsid w:val="34DD368C"/>
    <w:rsid w:val="379A445F"/>
    <w:rsid w:val="38986280"/>
    <w:rsid w:val="38FC2442"/>
    <w:rsid w:val="39863298"/>
    <w:rsid w:val="39CF0E62"/>
    <w:rsid w:val="3A415082"/>
    <w:rsid w:val="3A69467A"/>
    <w:rsid w:val="3C344673"/>
    <w:rsid w:val="3CDC1242"/>
    <w:rsid w:val="3DDD3902"/>
    <w:rsid w:val="3E8D6156"/>
    <w:rsid w:val="3EB43064"/>
    <w:rsid w:val="3F312ACB"/>
    <w:rsid w:val="3FAF61F9"/>
    <w:rsid w:val="3FC720B2"/>
    <w:rsid w:val="3FCD0C8D"/>
    <w:rsid w:val="40922C7C"/>
    <w:rsid w:val="40C764D4"/>
    <w:rsid w:val="41006A35"/>
    <w:rsid w:val="42973632"/>
    <w:rsid w:val="43696829"/>
    <w:rsid w:val="444D05BE"/>
    <w:rsid w:val="444E3803"/>
    <w:rsid w:val="45B54C00"/>
    <w:rsid w:val="471C20EE"/>
    <w:rsid w:val="47FD3CCE"/>
    <w:rsid w:val="489919E1"/>
    <w:rsid w:val="48C44256"/>
    <w:rsid w:val="49062CF8"/>
    <w:rsid w:val="493B6A03"/>
    <w:rsid w:val="49B13B80"/>
    <w:rsid w:val="4B43101F"/>
    <w:rsid w:val="4B831A2D"/>
    <w:rsid w:val="4DB0066E"/>
    <w:rsid w:val="4DED16AB"/>
    <w:rsid w:val="4E200D3B"/>
    <w:rsid w:val="4E347AA3"/>
    <w:rsid w:val="4E813ADD"/>
    <w:rsid w:val="4F8265E1"/>
    <w:rsid w:val="4FB855E9"/>
    <w:rsid w:val="50D15247"/>
    <w:rsid w:val="519C0207"/>
    <w:rsid w:val="51CE4DF0"/>
    <w:rsid w:val="52824423"/>
    <w:rsid w:val="53A60229"/>
    <w:rsid w:val="55FA2FD9"/>
    <w:rsid w:val="58546E79"/>
    <w:rsid w:val="587649C4"/>
    <w:rsid w:val="58EB2640"/>
    <w:rsid w:val="591661C0"/>
    <w:rsid w:val="593560BB"/>
    <w:rsid w:val="59551042"/>
    <w:rsid w:val="599324EC"/>
    <w:rsid w:val="59F310C3"/>
    <w:rsid w:val="5AD91257"/>
    <w:rsid w:val="5B0B6673"/>
    <w:rsid w:val="5C4E31D9"/>
    <w:rsid w:val="5C9163EF"/>
    <w:rsid w:val="5D0358C3"/>
    <w:rsid w:val="5D655039"/>
    <w:rsid w:val="5DB73636"/>
    <w:rsid w:val="5FB33ED8"/>
    <w:rsid w:val="60A35A27"/>
    <w:rsid w:val="61ED2B7C"/>
    <w:rsid w:val="62202C06"/>
    <w:rsid w:val="62C73780"/>
    <w:rsid w:val="62D13DCC"/>
    <w:rsid w:val="634D0270"/>
    <w:rsid w:val="63D76110"/>
    <w:rsid w:val="63EF3ED8"/>
    <w:rsid w:val="644F0FB6"/>
    <w:rsid w:val="64E31BF6"/>
    <w:rsid w:val="6524773E"/>
    <w:rsid w:val="65C54843"/>
    <w:rsid w:val="65D57061"/>
    <w:rsid w:val="662612F7"/>
    <w:rsid w:val="668A68F6"/>
    <w:rsid w:val="67697C8C"/>
    <w:rsid w:val="68AB2361"/>
    <w:rsid w:val="69530817"/>
    <w:rsid w:val="69B04386"/>
    <w:rsid w:val="6A497BD0"/>
    <w:rsid w:val="6BEF1DD1"/>
    <w:rsid w:val="6E2470D7"/>
    <w:rsid w:val="6E524B44"/>
    <w:rsid w:val="6E9A3488"/>
    <w:rsid w:val="701D3EBA"/>
    <w:rsid w:val="702C2AF3"/>
    <w:rsid w:val="70D50035"/>
    <w:rsid w:val="7195798E"/>
    <w:rsid w:val="72177E12"/>
    <w:rsid w:val="721A7053"/>
    <w:rsid w:val="72F36989"/>
    <w:rsid w:val="73FC35FE"/>
    <w:rsid w:val="75046F0E"/>
    <w:rsid w:val="756C1E83"/>
    <w:rsid w:val="77100BCB"/>
    <w:rsid w:val="7793772C"/>
    <w:rsid w:val="77EE2A2C"/>
    <w:rsid w:val="78955B8C"/>
    <w:rsid w:val="78F56D1D"/>
    <w:rsid w:val="798C7E32"/>
    <w:rsid w:val="7B3639AE"/>
    <w:rsid w:val="7D9940D6"/>
    <w:rsid w:val="7DE82510"/>
    <w:rsid w:val="7FA510E5"/>
    <w:rsid w:val="7FCE48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4"/>
    <w:semiHidden/>
    <w:unhideWhenUsed/>
    <w:qFormat/>
    <w:uiPriority w:val="99"/>
    <w:pPr>
      <w:ind w:firstLine="420" w:firstLineChars="200"/>
    </w:pPr>
  </w:style>
  <w:style w:type="paragraph" w:styleId="3">
    <w:name w:val="Body Text Indent"/>
    <w:basedOn w:val="1"/>
    <w:next w:val="1"/>
    <w:semiHidden/>
    <w:unhideWhenUsed/>
    <w:qFormat/>
    <w:uiPriority w:val="99"/>
    <w:pPr>
      <w:spacing w:after="120" w:afterLines="0" w:afterAutospacing="0"/>
      <w:ind w:left="420" w:leftChars="200"/>
    </w:pPr>
  </w:style>
  <w:style w:type="paragraph" w:styleId="4">
    <w:name w:val="Body Text First Indent"/>
    <w:basedOn w:val="5"/>
    <w:next w:val="1"/>
    <w:qFormat/>
    <w:uiPriority w:val="0"/>
    <w:pPr>
      <w:spacing w:after="120" w:line="240" w:lineRule="auto"/>
      <w:ind w:firstLine="420" w:firstLineChars="100"/>
    </w:pPr>
    <w:rPr>
      <w:rFonts w:ascii="Times New Roman" w:eastAsia="宋体"/>
      <w:color w:val="auto"/>
      <w:spacing w:val="0"/>
      <w:sz w:val="21"/>
      <w:lang w:val="en-US" w:eastAsia="zh-CN"/>
    </w:rPr>
  </w:style>
  <w:style w:type="paragraph" w:styleId="5">
    <w:name w:val="Body Text"/>
    <w:basedOn w:val="1"/>
    <w:next w:val="1"/>
    <w:qFormat/>
    <w:uiPriority w:val="0"/>
    <w:pPr>
      <w:spacing w:line="460" w:lineRule="exact"/>
    </w:pPr>
    <w:rPr>
      <w:rFonts w:ascii="仿宋_GB2312"/>
      <w:color w:val="000000"/>
      <w:spacing w:val="8"/>
      <w:szCs w:val="24"/>
    </w:rPr>
  </w:style>
  <w:style w:type="paragraph" w:styleId="6">
    <w:name w:val="annotation text"/>
    <w:basedOn w:val="1"/>
    <w:link w:val="20"/>
    <w:semiHidden/>
    <w:unhideWhenUsed/>
    <w:qFormat/>
    <w:uiPriority w:val="99"/>
    <w:pPr>
      <w:jc w:val="left"/>
    </w:pPr>
  </w:style>
  <w:style w:type="paragraph" w:styleId="7">
    <w:name w:val="Balloon Text"/>
    <w:basedOn w:val="1"/>
    <w:link w:val="22"/>
    <w:semiHidden/>
    <w:unhideWhenUsed/>
    <w:qFormat/>
    <w:uiPriority w:val="99"/>
    <w:rPr>
      <w:sz w:val="18"/>
      <w:szCs w:val="18"/>
    </w:rPr>
  </w:style>
  <w:style w:type="paragraph" w:styleId="8">
    <w:name w:val="footer"/>
    <w:basedOn w:val="1"/>
    <w:link w:val="16"/>
    <w:semiHidden/>
    <w:unhideWhenUsed/>
    <w:qFormat/>
    <w:uiPriority w:val="99"/>
    <w:pPr>
      <w:tabs>
        <w:tab w:val="center" w:pos="4153"/>
        <w:tab w:val="right" w:pos="8306"/>
      </w:tabs>
      <w:snapToGrid w:val="0"/>
      <w:jc w:val="left"/>
    </w:pPr>
    <w:rPr>
      <w:sz w:val="18"/>
      <w:szCs w:val="18"/>
    </w:rPr>
  </w:style>
  <w:style w:type="paragraph" w:styleId="9">
    <w:name w:val="header"/>
    <w:basedOn w:val="1"/>
    <w:link w:val="15"/>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itle"/>
    <w:basedOn w:val="1"/>
    <w:next w:val="1"/>
    <w:qFormat/>
    <w:uiPriority w:val="0"/>
    <w:pPr>
      <w:tabs>
        <w:tab w:val="left" w:pos="360"/>
        <w:tab w:val="left" w:pos="620"/>
      </w:tabs>
      <w:spacing w:before="240" w:after="60"/>
      <w:jc w:val="left"/>
      <w:outlineLvl w:val="0"/>
    </w:pPr>
    <w:rPr>
      <w:rFonts w:ascii="Arial" w:hAnsi="Arial" w:eastAsia="宋体"/>
      <w:b/>
      <w:sz w:val="32"/>
    </w:rPr>
  </w:style>
  <w:style w:type="paragraph" w:styleId="11">
    <w:name w:val="annotation subject"/>
    <w:basedOn w:val="6"/>
    <w:next w:val="6"/>
    <w:link w:val="21"/>
    <w:semiHidden/>
    <w:unhideWhenUsed/>
    <w:qFormat/>
    <w:uiPriority w:val="99"/>
    <w:rPr>
      <w:b/>
      <w:bCs/>
    </w:rPr>
  </w:style>
  <w:style w:type="character" w:styleId="14">
    <w:name w:val="annotation reference"/>
    <w:basedOn w:val="13"/>
    <w:semiHidden/>
    <w:unhideWhenUsed/>
    <w:qFormat/>
    <w:uiPriority w:val="99"/>
    <w:rPr>
      <w:sz w:val="21"/>
      <w:szCs w:val="21"/>
    </w:rPr>
  </w:style>
  <w:style w:type="character" w:customStyle="1" w:styleId="15">
    <w:name w:val="页眉 Char"/>
    <w:basedOn w:val="13"/>
    <w:link w:val="9"/>
    <w:semiHidden/>
    <w:qFormat/>
    <w:uiPriority w:val="99"/>
    <w:rPr>
      <w:sz w:val="18"/>
      <w:szCs w:val="18"/>
    </w:rPr>
  </w:style>
  <w:style w:type="character" w:customStyle="1" w:styleId="16">
    <w:name w:val="页脚 Char"/>
    <w:basedOn w:val="13"/>
    <w:link w:val="8"/>
    <w:semiHidden/>
    <w:qFormat/>
    <w:uiPriority w:val="99"/>
    <w:rPr>
      <w:sz w:val="18"/>
      <w:szCs w:val="18"/>
    </w:rPr>
  </w:style>
  <w:style w:type="character" w:customStyle="1" w:styleId="17">
    <w:name w:val="排版正文 Char Char"/>
    <w:link w:val="18"/>
    <w:qFormat/>
    <w:locked/>
    <w:uiPriority w:val="0"/>
    <w:rPr>
      <w:rFonts w:ascii="仿宋_GB2312" w:hAnsi="Times New Roman" w:eastAsia="仿宋_GB2312"/>
      <w:spacing w:val="8"/>
      <w:sz w:val="28"/>
      <w:szCs w:val="21"/>
    </w:rPr>
  </w:style>
  <w:style w:type="paragraph" w:customStyle="1" w:styleId="18">
    <w:name w:val="排版正文"/>
    <w:link w:val="17"/>
    <w:qFormat/>
    <w:uiPriority w:val="0"/>
    <w:pPr>
      <w:widowControl w:val="0"/>
      <w:spacing w:line="460" w:lineRule="exact"/>
      <w:ind w:firstLine="200" w:firstLineChars="200"/>
      <w:jc w:val="both"/>
    </w:pPr>
    <w:rPr>
      <w:rFonts w:ascii="仿宋_GB2312" w:hAnsi="Times New Roman" w:eastAsia="仿宋_GB2312" w:cstheme="minorBidi"/>
      <w:spacing w:val="8"/>
      <w:kern w:val="2"/>
      <w:sz w:val="28"/>
      <w:szCs w:val="21"/>
      <w:lang w:val="en-US" w:eastAsia="zh-CN" w:bidi="ar-SA"/>
    </w:rPr>
  </w:style>
  <w:style w:type="paragraph" w:styleId="19">
    <w:name w:val="List Paragraph"/>
    <w:basedOn w:val="1"/>
    <w:qFormat/>
    <w:uiPriority w:val="34"/>
    <w:pPr>
      <w:ind w:firstLine="420" w:firstLineChars="200"/>
    </w:pPr>
  </w:style>
  <w:style w:type="character" w:customStyle="1" w:styleId="20">
    <w:name w:val="批注文字 Char"/>
    <w:basedOn w:val="13"/>
    <w:link w:val="6"/>
    <w:semiHidden/>
    <w:qFormat/>
    <w:uiPriority w:val="99"/>
  </w:style>
  <w:style w:type="character" w:customStyle="1" w:styleId="21">
    <w:name w:val="批注主题 Char"/>
    <w:basedOn w:val="20"/>
    <w:link w:val="11"/>
    <w:semiHidden/>
    <w:qFormat/>
    <w:uiPriority w:val="99"/>
    <w:rPr>
      <w:b/>
      <w:bCs/>
    </w:rPr>
  </w:style>
  <w:style w:type="character" w:customStyle="1" w:styleId="22">
    <w:name w:val="批注框文本 Char"/>
    <w:basedOn w:val="13"/>
    <w:link w:val="7"/>
    <w:semiHidden/>
    <w:qFormat/>
    <w:uiPriority w:val="99"/>
    <w:rPr>
      <w:sz w:val="18"/>
      <w:szCs w:val="18"/>
    </w:rPr>
  </w:style>
  <w:style w:type="paragraph" w:customStyle="1" w:styleId="23">
    <w:name w:val="正文 + 四号"/>
    <w:basedOn w:val="1"/>
    <w:qFormat/>
    <w:uiPriority w:val="0"/>
    <w:pPr>
      <w:widowControl/>
      <w:spacing w:line="490" w:lineRule="exact"/>
      <w:ind w:firstLine="200" w:firstLineChars="200"/>
    </w:pPr>
    <w:rPr>
      <w:rFonts w:ascii="Times New Roman" w:hAnsi="Times New Roman" w:eastAsia="仿宋_GB2312" w:cs="Times New Roman"/>
      <w:color w:val="000000"/>
      <w:kern w:val="0"/>
      <w:sz w:val="28"/>
      <w:szCs w:val="21"/>
    </w:rPr>
  </w:style>
  <w:style w:type="character" w:customStyle="1" w:styleId="24">
    <w:name w:val="标题 2 Char"/>
    <w:qFormat/>
    <w:uiPriority w:val="0"/>
    <w:rPr>
      <w:rFonts w:ascii="宋体" w:hAnsi="宋体" w:eastAsia="宋体"/>
      <w:b/>
      <w:sz w:val="24"/>
      <w:szCs w:val="24"/>
      <w:lang w:val="en-US" w:eastAsia="zh-CN" w:bidi="ar-SA"/>
    </w:rPr>
  </w:style>
  <w:style w:type="paragraph" w:customStyle="1" w:styleId="25">
    <w:name w:val="段"/>
    <w:qFormat/>
    <w:uiPriority w:val="0"/>
    <w:pPr>
      <w:autoSpaceDE w:val="0"/>
      <w:autoSpaceDN w:val="0"/>
      <w:ind w:firstLine="200" w:firstLineChars="200"/>
      <w:jc w:val="both"/>
    </w:pPr>
    <w:rPr>
      <w:rFonts w:ascii="宋体" w:hAnsi="等线" w:eastAsia="等线" w:cs="Times New Roman"/>
      <w:kern w:val="2"/>
      <w:sz w:val="21"/>
      <w:szCs w:val="21"/>
      <w:lang w:val="en-US" w:eastAsia="zh-CN" w:bidi="ar-SA"/>
    </w:rPr>
  </w:style>
  <w:style w:type="paragraph" w:customStyle="1" w:styleId="26">
    <w:name w:val="正文字样"/>
    <w:basedOn w:val="10"/>
    <w:qFormat/>
    <w:uiPriority w:val="0"/>
    <w:pPr>
      <w:spacing w:before="0" w:after="0" w:line="490" w:lineRule="exact"/>
      <w:ind w:firstLine="200" w:firstLineChars="200"/>
      <w:jc w:val="both"/>
      <w:outlineLvl w:val="9"/>
    </w:pPr>
    <w:rPr>
      <w:rFonts w:ascii="Times New Roman" w:hAnsi="Times New Roman" w:eastAsia="仿宋_GB2312"/>
      <w:b w:val="0"/>
      <w:bCs/>
      <w:color w:val="000000"/>
      <w:sz w:val="28"/>
      <w:szCs w:val="28"/>
    </w:rPr>
  </w:style>
  <w:style w:type="paragraph" w:customStyle="1" w:styleId="27">
    <w:name w:val="Default"/>
    <w:qFormat/>
    <w:uiPriority w:val="0"/>
    <w:pPr>
      <w:widowControl w:val="0"/>
      <w:autoSpaceDE w:val="0"/>
      <w:autoSpaceDN w:val="0"/>
      <w:adjustRightInd w:val="0"/>
      <w:spacing w:line="490" w:lineRule="exact"/>
      <w:ind w:firstLine="422" w:firstLineChars="200"/>
    </w:pPr>
    <w:rPr>
      <w:rFonts w:ascii="Times New Roman" w:hAnsi="Times New Roman" w:eastAsia="仿宋_GB2312" w:cs="宋体"/>
      <w:color w:val="000000"/>
      <w:kern w:val="2"/>
      <w:sz w:val="28"/>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A8D332-0D06-4AF6-943B-D4197465BDE6}">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1582</Words>
  <Characters>1728</Characters>
  <Lines>6</Lines>
  <Paragraphs>1</Paragraphs>
  <TotalTime>0</TotalTime>
  <ScaleCrop>false</ScaleCrop>
  <LinksUpToDate>false</LinksUpToDate>
  <CharactersWithSpaces>1730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2020-04-20T09:11:00Z</dcterms:created>
  <dc:creator>微软用户</dc:creator>
  <cp:lastModifiedBy>丁伦</cp:lastModifiedBy>
  <dcterms:modified xsi:type="dcterms:W3CDTF">2023-03-28T02:36:49Z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115098DA71D148B88D029956B58E938E</vt:lpwstr>
  </property>
</Properties>
</file>